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</w:t>
      </w:r>
      <w:r>
        <w:rPr>
          <w:rFonts w:hint="eastAsia" w:ascii="宋体" w:hAnsi="宋体"/>
          <w:b/>
          <w:sz w:val="44"/>
          <w:szCs w:val="44"/>
          <w:lang w:eastAsia="zh-CN"/>
        </w:rPr>
        <w:t>岱岳制盐</w:t>
      </w:r>
      <w:r>
        <w:rPr>
          <w:rFonts w:hint="eastAsia" w:ascii="宋体" w:hAnsi="宋体"/>
          <w:b/>
          <w:sz w:val="44"/>
          <w:szCs w:val="44"/>
        </w:rPr>
        <w:t>有限公司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vertAlign w:val="baseline"/>
          <w:lang w:val="en-US" w:eastAsia="zh-CN"/>
        </w:rPr>
        <w:t>供热中心北侧院墙修复施工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项目</w:t>
      </w:r>
      <w:r>
        <w:rPr>
          <w:rFonts w:hint="eastAsia" w:ascii="宋体" w:hAnsi="宋体"/>
          <w:b/>
          <w:sz w:val="36"/>
          <w:szCs w:val="36"/>
          <w:lang w:val="zh-CN"/>
        </w:rPr>
        <w:t>施工</w:t>
      </w:r>
      <w:r>
        <w:rPr>
          <w:rFonts w:hint="eastAsia" w:ascii="宋体" w:hAnsi="宋体"/>
          <w:b/>
          <w:sz w:val="36"/>
          <w:szCs w:val="36"/>
        </w:rPr>
        <w:t>公告</w:t>
      </w:r>
    </w:p>
    <w:p>
      <w:pPr>
        <w:spacing w:line="360" w:lineRule="auto"/>
        <w:ind w:firstLine="675" w:firstLineChars="22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根据</w:t>
      </w:r>
      <w:r>
        <w:rPr>
          <w:rFonts w:hint="eastAsia" w:ascii="仿宋_GB2312" w:eastAsia="仿宋_GB2312"/>
          <w:sz w:val="30"/>
          <w:szCs w:val="30"/>
          <w:lang w:eastAsia="zh-CN"/>
        </w:rPr>
        <w:t>安全检查要求</w:t>
      </w:r>
      <w:r>
        <w:rPr>
          <w:rFonts w:hint="eastAsia" w:ascii="仿宋_GB2312" w:eastAsia="仿宋_GB2312"/>
          <w:sz w:val="30"/>
          <w:szCs w:val="30"/>
        </w:rPr>
        <w:t>，现就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sz w:val="30"/>
          <w:szCs w:val="30"/>
          <w:lang w:val="zh-CN"/>
        </w:rPr>
        <w:t>供热中心北侧院墙修复施工项目</w:t>
      </w:r>
      <w:r>
        <w:rPr>
          <w:rFonts w:hint="eastAsia" w:ascii="仿宋_GB2312" w:eastAsia="仿宋_GB2312"/>
          <w:sz w:val="30"/>
          <w:szCs w:val="30"/>
        </w:rPr>
        <w:t>公开进行招标，欢迎</w:t>
      </w:r>
      <w:r>
        <w:rPr>
          <w:rFonts w:hint="eastAsia" w:ascii="仿宋_GB2312" w:eastAsia="仿宋_GB2312"/>
          <w:sz w:val="30"/>
          <w:szCs w:val="30"/>
          <w:lang w:eastAsia="zh-CN"/>
        </w:rPr>
        <w:t>有施工</w:t>
      </w:r>
      <w:r>
        <w:rPr>
          <w:rFonts w:hint="eastAsia" w:ascii="仿宋_GB2312" w:eastAsia="仿宋_GB2312"/>
          <w:sz w:val="30"/>
          <w:szCs w:val="30"/>
        </w:rPr>
        <w:t>能力</w:t>
      </w:r>
      <w:r>
        <w:rPr>
          <w:rFonts w:hint="eastAsia" w:ascii="仿宋_GB2312" w:eastAsia="仿宋_GB2312"/>
          <w:sz w:val="30"/>
          <w:szCs w:val="30"/>
          <w:lang w:eastAsia="zh-CN"/>
        </w:rPr>
        <w:t>以及施工经验</w:t>
      </w:r>
      <w:r>
        <w:rPr>
          <w:rFonts w:hint="eastAsia" w:ascii="仿宋_GB2312" w:eastAsia="仿宋_GB2312"/>
          <w:sz w:val="30"/>
          <w:szCs w:val="30"/>
        </w:rPr>
        <w:t>的单位参与投标。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88" w:firstLineChars="196"/>
        <w:rPr>
          <w:rFonts w:hint="eastAsia" w:ascii="黑体" w:eastAsia="黑体"/>
          <w:sz w:val="30"/>
          <w:szCs w:val="30"/>
        </w:rPr>
      </w:pP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招标项目及标准要求：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sz w:val="30"/>
          <w:szCs w:val="30"/>
        </w:rPr>
        <w:t>工程名称：</w:t>
      </w:r>
      <w:r>
        <w:rPr>
          <w:rFonts w:hint="eastAsia" w:ascii="仿宋_GB2312" w:eastAsia="仿宋_GB2312"/>
          <w:sz w:val="30"/>
          <w:szCs w:val="30"/>
          <w:lang w:val="zh-CN"/>
        </w:rPr>
        <w:t>山东岱岳制盐有限公司供热中心北侧院墙修复施工项目。</w:t>
      </w:r>
    </w:p>
    <w:p>
      <w:pPr>
        <w:spacing w:line="24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</w:t>
      </w:r>
      <w:r>
        <w:rPr>
          <w:rFonts w:hint="eastAsia" w:ascii="仿宋_GB2312" w:eastAsia="仿宋_GB2312"/>
          <w:sz w:val="30"/>
          <w:szCs w:val="30"/>
        </w:rPr>
        <w:t>工程地点：山东</w:t>
      </w:r>
      <w:r>
        <w:rPr>
          <w:rFonts w:hint="eastAsia" w:ascii="仿宋_GB2312" w:eastAsia="仿宋_GB2312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sz w:val="30"/>
          <w:szCs w:val="30"/>
        </w:rPr>
        <w:t>有限公司</w:t>
      </w:r>
      <w:r>
        <w:rPr>
          <w:rFonts w:hint="eastAsia" w:ascii="仿宋_GB2312" w:eastAsia="仿宋_GB2312"/>
          <w:sz w:val="30"/>
          <w:szCs w:val="30"/>
          <w:lang w:eastAsia="zh-CN"/>
        </w:rPr>
        <w:t>供热中心院内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24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sz w:val="30"/>
          <w:szCs w:val="30"/>
        </w:rPr>
        <w:t>工程</w:t>
      </w:r>
      <w:r>
        <w:rPr>
          <w:rFonts w:hint="eastAsia" w:ascii="仿宋_GB2312" w:eastAsia="仿宋_GB2312"/>
          <w:sz w:val="30"/>
          <w:szCs w:val="30"/>
          <w:lang w:eastAsia="zh-CN"/>
        </w:rPr>
        <w:t>施工</w:t>
      </w:r>
      <w:r>
        <w:rPr>
          <w:rFonts w:hint="eastAsia" w:ascii="仿宋_GB2312" w:eastAsia="仿宋_GB2312"/>
          <w:sz w:val="30"/>
          <w:szCs w:val="30"/>
        </w:rPr>
        <w:t>内容：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3.1 供热中心北侧院墙共计约120m左右，高约2米左右；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0" w:firstLineChars="2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3.2 首先需将现有围墙拆除并清运建筑垃圾，然后采用PVC材料制作院墙围栏并安装。</w:t>
      </w:r>
    </w:p>
    <w:p>
      <w:pPr>
        <w:numPr>
          <w:ilvl w:val="0"/>
          <w:numId w:val="2"/>
        </w:numPr>
        <w:spacing w:line="240" w:lineRule="auto"/>
        <w:ind w:left="30" w:leftChars="0" w:firstLine="60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费用包含施工所需的所有材料、车辆租赁、人工、安装、安全生产、保养、税费、验收、检测、第三方审计及验收等一切费用。</w:t>
      </w:r>
    </w:p>
    <w:p>
      <w:pPr>
        <w:numPr>
          <w:ilvl w:val="0"/>
          <w:numId w:val="2"/>
        </w:numPr>
        <w:spacing w:line="240" w:lineRule="auto"/>
        <w:ind w:left="30" w:leftChars="0" w:firstLine="600" w:firstLineChars="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付款方式：</w:t>
      </w:r>
    </w:p>
    <w:p>
      <w:pPr>
        <w:spacing w:line="240" w:lineRule="auto"/>
        <w:ind w:firstLine="60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/>
        </w:rPr>
        <w:t>本工程无预付款，建设完成并经验收合格后</w:t>
      </w:r>
      <w:r>
        <w:rPr>
          <w:rFonts w:ascii="仿宋_GB2312" w:hAnsi="仿宋" w:eastAsia="仿宋_GB2312"/>
          <w:b w:val="0"/>
          <w:bCs/>
          <w:color w:val="000000"/>
          <w:sz w:val="30"/>
          <w:szCs w:val="30"/>
          <w:lang w:val="zh-CN"/>
        </w:rPr>
        <w:t>付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/>
        </w:rPr>
        <w:t>至</w:t>
      </w:r>
      <w:r>
        <w:rPr>
          <w:rFonts w:ascii="仿宋_GB2312" w:hAnsi="仿宋" w:eastAsia="仿宋_GB2312"/>
          <w:b w:val="0"/>
          <w:bCs/>
          <w:color w:val="000000"/>
          <w:sz w:val="30"/>
          <w:szCs w:val="30"/>
          <w:lang w:val="zh-CN"/>
        </w:rPr>
        <w:t>合同价款的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95</w:t>
      </w:r>
      <w:r>
        <w:rPr>
          <w:rFonts w:ascii="仿宋_GB2312" w:hAnsi="仿宋" w:eastAsia="仿宋_GB2312"/>
          <w:b w:val="0"/>
          <w:bCs/>
          <w:color w:val="000000"/>
          <w:sz w:val="30"/>
          <w:szCs w:val="30"/>
          <w:lang w:val="zh-CN"/>
        </w:rPr>
        <w:t>%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zh-CN"/>
        </w:rPr>
        <w:t>（乙方同时开具全额增值税专用发票），余款</w:t>
      </w:r>
      <w:r>
        <w:rPr>
          <w:rFonts w:hint="eastAsia" w:ascii="仿宋_GB2312" w:hAnsi="仿宋" w:eastAsia="仿宋_GB2312"/>
          <w:b w:val="0"/>
          <w:bCs/>
          <w:color w:val="000000"/>
          <w:sz w:val="30"/>
          <w:szCs w:val="30"/>
          <w:lang w:val="en-US" w:eastAsia="zh-CN"/>
        </w:rPr>
        <w:t>5%为质保金，质保期1年，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30"/>
          <w:szCs w:val="30"/>
        </w:rPr>
        <w:t>满后无质量问题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</w:rPr>
        <w:t>个工作日内一次无息付清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240" w:lineRule="auto"/>
        <w:ind w:firstLine="675" w:firstLineChars="225"/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施工技术要求：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600" w:firstLineChars="200"/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1、施工及验收参照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08BJ9-1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</w:rPr>
        <w:t>室外工程-围墙围栏规范图集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相关内容执行</w:t>
      </w: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>；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0"/>
          <w:szCs w:val="30"/>
          <w:lang w:val="en-US" w:eastAsia="zh-CN"/>
        </w:rPr>
        <w:t xml:space="preserve">    2、报价时需提供相应施工方案；</w:t>
      </w:r>
    </w:p>
    <w:p>
      <w:pPr>
        <w:numPr>
          <w:ilvl w:val="0"/>
          <w:numId w:val="0"/>
        </w:numPr>
        <w:spacing w:line="24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3、其他详见工程施工内容。</w:t>
      </w:r>
    </w:p>
    <w:p>
      <w:pPr>
        <w:spacing w:line="560" w:lineRule="exact"/>
        <w:ind w:firstLine="675" w:firstLineChars="225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三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投标资格要求：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sz w:val="30"/>
          <w:szCs w:val="30"/>
        </w:rPr>
        <w:t>具有国内法人资格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  <w:lang w:eastAsia="zh-CN"/>
        </w:rPr>
        <w:t>具有相关施工经验。</w:t>
      </w:r>
    </w:p>
    <w:p>
      <w:pPr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zh-CN" w:eastAsia="zh-CN"/>
        </w:rPr>
        <w:t>须具有建筑工程施工总承包叁级及以上资质，并在人员、设备、资金等方面具有与本项目相适应的施工能力。</w:t>
      </w:r>
    </w:p>
    <w:p>
      <w:pPr>
        <w:spacing w:line="580" w:lineRule="exact"/>
        <w:ind w:firstLine="60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eastAsia="黑体"/>
          <w:sz w:val="30"/>
          <w:szCs w:val="30"/>
          <w:lang w:eastAsia="zh-CN"/>
        </w:rPr>
        <w:t>四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hint="eastAsia" w:ascii="黑体" w:eastAsia="黑体"/>
          <w:sz w:val="30"/>
          <w:szCs w:val="30"/>
          <w:lang w:eastAsia="zh-CN"/>
        </w:rPr>
        <w:t>投标所需文件：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投标需要提供</w:t>
      </w:r>
      <w:r>
        <w:rPr>
          <w:rFonts w:hint="eastAsia" w:ascii="仿宋_GB2312" w:hAnsi="仿宋_GB2312" w:eastAsia="仿宋_GB2312" w:cs="仿宋_GB2312"/>
          <w:sz w:val="30"/>
          <w:szCs w:val="30"/>
        </w:rPr>
        <w:t>报价单、公司营业执照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复印件、</w:t>
      </w:r>
      <w:r>
        <w:rPr>
          <w:rFonts w:hint="eastAsia" w:ascii="仿宋_GB2312" w:hAnsi="仿宋_GB2312" w:eastAsia="仿宋_GB2312" w:cs="仿宋_GB2312"/>
          <w:sz w:val="30"/>
          <w:szCs w:val="30"/>
        </w:rPr>
        <w:t>资质文件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、安全生产许可证、特殊工种（特种作业及特种设备作业）作业人员上岗证复印件、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2个以上</w:t>
      </w:r>
      <w:r>
        <w:rPr>
          <w:rFonts w:hint="eastAsia" w:ascii="仿宋_GB2312" w:hAnsi="仿宋_GB2312" w:eastAsia="仿宋_GB2312" w:cs="仿宋_GB2312"/>
          <w:sz w:val="30"/>
          <w:szCs w:val="30"/>
        </w:rPr>
        <w:t>最近2年业绩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合同，以上文件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加盖公章；中标单位开工前需提供施工方案及安全施工方案。</w:t>
      </w:r>
    </w:p>
    <w:p>
      <w:pPr>
        <w:spacing w:line="560" w:lineRule="exact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eastAsia="zh-CN"/>
        </w:rPr>
        <w:t>五</w:t>
      </w:r>
      <w:r>
        <w:rPr>
          <w:rFonts w:hint="eastAsia" w:ascii="黑体" w:eastAsia="黑体"/>
          <w:sz w:val="30"/>
          <w:szCs w:val="30"/>
        </w:rPr>
        <w:t>、</w:t>
      </w: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投标时间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19</w:t>
      </w:r>
      <w:r>
        <w:rPr>
          <w:rFonts w:hint="eastAsia" w:ascii="仿宋_GB2312" w:eastAsia="仿宋_GB2312"/>
          <w:sz w:val="30"/>
          <w:szCs w:val="30"/>
        </w:rPr>
        <w:t>日</w:t>
      </w:r>
      <w:r>
        <w:rPr>
          <w:rFonts w:hint="eastAsia" w:ascii="仿宋_GB2312" w:eastAsia="仿宋_GB2312"/>
          <w:sz w:val="30"/>
          <w:szCs w:val="30"/>
          <w:lang w:eastAsia="zh-CN"/>
        </w:rPr>
        <w:t>上午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8:00</w:t>
      </w:r>
      <w:r>
        <w:rPr>
          <w:rFonts w:hint="eastAsia" w:ascii="仿宋_GB2312" w:eastAsia="仿宋_GB2312"/>
          <w:sz w:val="30"/>
          <w:szCs w:val="30"/>
          <w:lang w:eastAsia="zh-CN"/>
        </w:rPr>
        <w:t>至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2月21日下午15</w:t>
      </w:r>
      <w:r>
        <w:rPr>
          <w:rFonts w:ascii="仿宋_GB2312" w:eastAsia="仿宋_GB2312"/>
          <w:sz w:val="30"/>
          <w:szCs w:val="30"/>
        </w:rPr>
        <w:t>:00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spacing w:line="560" w:lineRule="exact"/>
        <w:ind w:firstLine="675" w:firstLineChars="225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六</w:t>
      </w:r>
      <w:r>
        <w:rPr>
          <w:rFonts w:hint="eastAsia" w:ascii="黑体" w:eastAsia="黑体"/>
          <w:sz w:val="30"/>
          <w:szCs w:val="30"/>
        </w:rPr>
        <w:t>、投标及开标方式：</w:t>
      </w:r>
    </w:p>
    <w:p>
      <w:pPr>
        <w:spacing w:line="560" w:lineRule="exact"/>
        <w:ind w:firstLine="675" w:firstLineChars="225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、线上，登录隆道云平台报价</w:t>
      </w:r>
      <w:r>
        <w:rPr>
          <w:rFonts w:hint="eastAsia" w:ascii="仿宋" w:hAnsi="仿宋" w:eastAsia="仿宋"/>
          <w:sz w:val="30"/>
          <w:szCs w:val="30"/>
          <w:lang w:eastAsia="zh-CN"/>
        </w:rPr>
        <w:t>或山东岱岳制盐有限公司官网（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www.sddyzy.com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  <w:lang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hint="eastAsia" w:ascii="仿宋" w:hAnsi="仿宋" w:eastAsia="仿宋"/>
          <w:sz w:val="30"/>
          <w:szCs w:val="30"/>
          <w:lang w:eastAsia="zh-CN"/>
        </w:rPr>
        <w:t>截止时间</w:t>
      </w: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2月21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eastAsia="zh-CN"/>
        </w:rPr>
        <w:t>下午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15：00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560" w:lineRule="exact"/>
        <w:ind w:firstLine="675" w:firstLineChars="225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  <w:lang w:eastAsia="zh-CN"/>
        </w:rPr>
        <w:t>线下，报专用邮箱：</w:t>
      </w:r>
      <w:r>
        <w:rPr>
          <w:rFonts w:hint="eastAsia" w:ascii="仿宋" w:hAnsi="仿宋" w:eastAsia="仿宋"/>
          <w:sz w:val="30"/>
          <w:szCs w:val="30"/>
          <w:lang w:eastAsia="zh-CN"/>
        </w:rPr>
        <w:fldChar w:fldCharType="begin"/>
      </w:r>
      <w:r>
        <w:rPr>
          <w:rFonts w:hint="eastAsia" w:ascii="仿宋" w:hAnsi="仿宋" w:eastAsia="仿宋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" w:hAnsi="仿宋" w:eastAsia="仿宋"/>
          <w:sz w:val="30"/>
          <w:szCs w:val="30"/>
          <w:lang w:eastAsia="zh-CN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30"/>
          <w:szCs w:val="30"/>
          <w:lang w:eastAsia="zh-CN"/>
        </w:rPr>
        <w:t>dyzy009@163.com，</w:t>
      </w:r>
      <w:r>
        <w:rPr>
          <w:rStyle w:val="9"/>
          <w:rFonts w:hint="eastAsia" w:ascii="仿宋" w:hAnsi="仿宋" w:eastAsia="仿宋"/>
          <w:color w:val="auto"/>
          <w:sz w:val="30"/>
          <w:szCs w:val="30"/>
          <w:u w:val="none"/>
          <w:lang w:eastAsia="zh-CN"/>
        </w:rPr>
        <w:t>截止时间</w:t>
      </w:r>
      <w:r>
        <w:rPr>
          <w:rStyle w:val="9"/>
          <w:rFonts w:ascii="仿宋" w:hAnsi="仿宋" w:eastAsia="仿宋"/>
          <w:color w:val="auto"/>
          <w:sz w:val="30"/>
          <w:szCs w:val="30"/>
          <w:u w:val="none"/>
        </w:rPr>
        <w:t>202</w:t>
      </w:r>
      <w:r>
        <w:rPr>
          <w:rStyle w:val="9"/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2</w:t>
      </w:r>
      <w:r>
        <w:rPr>
          <w:rStyle w:val="9"/>
          <w:rFonts w:hint="eastAsia" w:ascii="仿宋" w:hAnsi="仿宋" w:eastAsia="仿宋"/>
          <w:color w:val="auto"/>
          <w:sz w:val="30"/>
          <w:szCs w:val="30"/>
          <w:u w:val="none"/>
        </w:rPr>
        <w:t>年</w:t>
      </w:r>
      <w:r>
        <w:rPr>
          <w:rStyle w:val="9"/>
          <w:rFonts w:hint="eastAsia" w:ascii="仿宋" w:hAnsi="仿宋" w:eastAsia="仿宋"/>
          <w:color w:val="auto"/>
          <w:sz w:val="30"/>
          <w:szCs w:val="30"/>
          <w:u w:val="none"/>
          <w:lang w:val="en-US" w:eastAsia="zh-CN"/>
        </w:rPr>
        <w:t>2</w:t>
      </w:r>
      <w:r>
        <w:rPr>
          <w:rStyle w:val="9"/>
          <w:rFonts w:hint="eastAsia" w:ascii="仿宋" w:hAnsi="仿宋" w:eastAsia="仿宋"/>
          <w:color w:val="auto"/>
          <w:sz w:val="30"/>
          <w:szCs w:val="30"/>
          <w:u w:val="none"/>
        </w:rPr>
        <w:t>月</w:t>
      </w:r>
      <w:r>
        <w:rPr>
          <w:rFonts w:hint="eastAsia" w:ascii="仿宋" w:hAnsi="仿宋" w:eastAsia="仿宋"/>
          <w:sz w:val="30"/>
          <w:szCs w:val="30"/>
          <w:lang w:eastAsia="zh-CN"/>
        </w:rPr>
        <w:fldChar w:fldCharType="end"/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eastAsia="zh-CN"/>
        </w:rPr>
        <w:t>下午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15：00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560" w:lineRule="exact"/>
        <w:ind w:firstLine="675" w:firstLineChars="225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</w:t>
      </w: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其</w:t>
      </w: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他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line="560" w:lineRule="exact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sz w:val="30"/>
          <w:szCs w:val="30"/>
          <w:lang w:eastAsia="zh-CN"/>
        </w:rPr>
        <w:t>施工工期：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val="en-US" w:eastAsia="zh-CN"/>
        </w:rPr>
        <w:t>日历天；</w:t>
      </w:r>
    </w:p>
    <w:p>
      <w:pPr>
        <w:spacing w:line="560" w:lineRule="exact"/>
        <w:ind w:firstLine="675" w:firstLineChars="225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2、本合同接受甲方安排的第三方审计，最终结算金额以审计结果为准。</w:t>
      </w:r>
    </w:p>
    <w:p>
      <w:pPr>
        <w:spacing w:line="560" w:lineRule="exact"/>
        <w:ind w:firstLine="675" w:firstLineChars="225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</w:t>
      </w:r>
      <w:r>
        <w:rPr>
          <w:rFonts w:eastAsia="黑体"/>
          <w:sz w:val="30"/>
          <w:szCs w:val="30"/>
        </w:rPr>
        <w:t> </w:t>
      </w:r>
      <w:r>
        <w:rPr>
          <w:rFonts w:hint="eastAsia" w:ascii="黑体" w:eastAsia="黑体"/>
          <w:sz w:val="30"/>
          <w:szCs w:val="30"/>
        </w:rPr>
        <w:t>联系方式：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人：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赵新        </w:t>
      </w:r>
      <w:r>
        <w:rPr>
          <w:rFonts w:hint="eastAsia" w:ascii="仿宋_GB2312" w:eastAsia="仿宋_GB2312"/>
          <w:sz w:val="30"/>
          <w:szCs w:val="30"/>
          <w:lang w:eastAsia="zh-CN"/>
        </w:rPr>
        <w:t>张宗文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  <w:lang w:eastAsia="zh-CN"/>
        </w:rPr>
        <w:t>张毅</w:t>
      </w: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移动电话：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15621530171 13625387897 13705382602</w:t>
      </w:r>
    </w:p>
    <w:p>
      <w:pPr>
        <w:widowControl/>
        <w:spacing w:line="560" w:lineRule="exact"/>
        <w:ind w:firstLine="60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单位名称：山东</w:t>
      </w:r>
      <w:r>
        <w:rPr>
          <w:rFonts w:hint="eastAsia" w:ascii="仿宋_GB2312" w:eastAsia="仿宋_GB2312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sz w:val="30"/>
          <w:szCs w:val="30"/>
        </w:rPr>
        <w:t>有限公司</w:t>
      </w:r>
      <w:r>
        <w:rPr>
          <w:rFonts w:ascii="仿宋_GB2312" w:eastAsia="仿宋_GB2312"/>
          <w:sz w:val="30"/>
          <w:szCs w:val="30"/>
        </w:rPr>
        <w:br w:type="textWrapping"/>
      </w:r>
      <w:r>
        <w:rPr>
          <w:rFonts w:eastAsia="仿宋_GB2312"/>
          <w:sz w:val="30"/>
          <w:szCs w:val="30"/>
        </w:rPr>
        <w:t>    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单位地址：泰安市大汶口石膏工业园</w:t>
      </w:r>
      <w:r>
        <w:rPr>
          <w:rFonts w:hint="eastAsia" w:ascii="仿宋_GB2312" w:eastAsia="仿宋_GB2312"/>
          <w:sz w:val="30"/>
          <w:szCs w:val="30"/>
          <w:lang w:eastAsia="zh-CN"/>
        </w:rPr>
        <w:t>区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080" w:firstLineChars="1900"/>
        <w:rPr>
          <w:rFonts w:hint="eastAsia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3990" w:firstLineChars="19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附表：报价单</w:t>
      </w:r>
    </w:p>
    <w:tbl>
      <w:tblPr>
        <w:tblStyle w:val="5"/>
        <w:tblpPr w:leftFromText="180" w:rightFromText="180" w:vertAnchor="text" w:horzAnchor="page" w:tblpX="1690" w:tblpY="230"/>
        <w:tblOverlap w:val="never"/>
        <w:tblW w:w="864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280"/>
        <w:gridCol w:w="2357"/>
        <w:gridCol w:w="2275"/>
        <w:gridCol w:w="1988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641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山东岱岳制盐有限公司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eastAsia="仿宋_GB2312"/>
                <w:sz w:val="30"/>
                <w:szCs w:val="30"/>
                <w:lang w:val="zh-CN"/>
              </w:rPr>
              <w:t>供热中心北侧院墙修复施工项目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41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41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报价单位：</w:t>
            </w:r>
          </w:p>
        </w:tc>
        <w:tc>
          <w:tcPr>
            <w:tcW w:w="662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2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zh-CN"/>
              </w:rPr>
              <w:t>供热中心北侧院墙修复施工项目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4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报价内容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4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施工内容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报价单价（单位)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报价合计（元）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zh-CN"/>
              </w:rPr>
              <w:t>供热中心北侧院墙修复施工项目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费用总计：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  <w:sectPr>
          <w:pgSz w:w="11906" w:h="16838"/>
          <w:pgMar w:top="1440" w:right="1644" w:bottom="1440" w:left="1644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施工单位（盖章）：                      </w:t>
      </w:r>
    </w:p>
    <w:p>
      <w:pPr>
        <w:numPr>
          <w:ilvl w:val="0"/>
          <w:numId w:val="0"/>
        </w:numPr>
        <w:rPr>
          <w:rFonts w:hint="default"/>
          <w:sz w:val="30"/>
          <w:szCs w:val="30"/>
          <w:lang w:val="en-US" w:eastAsia="zh-CN"/>
        </w:rPr>
      </w:pPr>
    </w:p>
    <w:sectPr>
      <w:pgSz w:w="16838" w:h="11906" w:orient="landscape"/>
      <w:pgMar w:top="164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7A4D23"/>
    <w:multiLevelType w:val="singleLevel"/>
    <w:tmpl w:val="377A4D23"/>
    <w:lvl w:ilvl="0" w:tentative="0">
      <w:start w:val="4"/>
      <w:numFmt w:val="decimal"/>
      <w:suff w:val="nothing"/>
      <w:lvlText w:val="%1、"/>
      <w:lvlJc w:val="left"/>
      <w:pPr>
        <w:ind w:left="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10B5F"/>
    <w:rsid w:val="017F12D4"/>
    <w:rsid w:val="018C0253"/>
    <w:rsid w:val="01E3241E"/>
    <w:rsid w:val="03A747CD"/>
    <w:rsid w:val="04A1169C"/>
    <w:rsid w:val="0CDF150A"/>
    <w:rsid w:val="0D48290E"/>
    <w:rsid w:val="0F3964AA"/>
    <w:rsid w:val="100A0345"/>
    <w:rsid w:val="1D3A22D0"/>
    <w:rsid w:val="21D218C4"/>
    <w:rsid w:val="228D345D"/>
    <w:rsid w:val="26AF1DC8"/>
    <w:rsid w:val="296D3AFF"/>
    <w:rsid w:val="2B7B3434"/>
    <w:rsid w:val="2BA0116E"/>
    <w:rsid w:val="2C813014"/>
    <w:rsid w:val="2E7C6BA4"/>
    <w:rsid w:val="2EF00CBC"/>
    <w:rsid w:val="3073141D"/>
    <w:rsid w:val="37287569"/>
    <w:rsid w:val="375529D6"/>
    <w:rsid w:val="37584AFD"/>
    <w:rsid w:val="39C35BC7"/>
    <w:rsid w:val="415200EE"/>
    <w:rsid w:val="45C10B5F"/>
    <w:rsid w:val="460472E4"/>
    <w:rsid w:val="46F92DC9"/>
    <w:rsid w:val="47F829F1"/>
    <w:rsid w:val="496F62AF"/>
    <w:rsid w:val="4B2D2238"/>
    <w:rsid w:val="4C4A24E3"/>
    <w:rsid w:val="4C6616D0"/>
    <w:rsid w:val="51B701A5"/>
    <w:rsid w:val="52DD0BE6"/>
    <w:rsid w:val="53E0201D"/>
    <w:rsid w:val="5B317DD9"/>
    <w:rsid w:val="5C4471B5"/>
    <w:rsid w:val="5DBB7DAF"/>
    <w:rsid w:val="676E33F4"/>
    <w:rsid w:val="67730F5A"/>
    <w:rsid w:val="69E8573F"/>
    <w:rsid w:val="6B106DB8"/>
    <w:rsid w:val="6BD60081"/>
    <w:rsid w:val="6FB82613"/>
    <w:rsid w:val="72112C9F"/>
    <w:rsid w:val="72D53D93"/>
    <w:rsid w:val="740F2EEB"/>
    <w:rsid w:val="76332B34"/>
    <w:rsid w:val="78400306"/>
    <w:rsid w:val="7A5600B8"/>
    <w:rsid w:val="7C5D5A4C"/>
    <w:rsid w:val="7E3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939"/>
      <w:outlineLvl w:val="1"/>
    </w:pPr>
    <w:rPr>
      <w:rFonts w:ascii="宋体" w:hAnsi="宋体" w:eastAsia="宋体" w:cs="宋体"/>
      <w:sz w:val="33"/>
      <w:szCs w:val="33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001"/>
      <w:outlineLvl w:val="2"/>
    </w:pPr>
    <w:rPr>
      <w:rFonts w:ascii="Times New Roman" w:hAnsi="Times New Roman" w:eastAsia="Times New Roman" w:cs="Times New Roman"/>
      <w:sz w:val="17"/>
      <w:szCs w:val="17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10"/>
      <w:szCs w:val="10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烟叶儿</cp:lastModifiedBy>
  <cp:lastPrinted>2022-02-12T02:44:00Z</cp:lastPrinted>
  <dcterms:modified xsi:type="dcterms:W3CDTF">2022-02-20T08:17:19Z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091DDAECA722471C9350C3F94238431E</vt:lpwstr>
  </property>
</Properties>
</file>