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</w:t>
      </w:r>
      <w:r>
        <w:rPr>
          <w:rFonts w:hint="eastAsia" w:ascii="宋体" w:hAnsi="宋体"/>
          <w:b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  <w:t>供热中心1#及2#炉设备维修项目招标文件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根据工艺需求</w:t>
      </w:r>
      <w:r>
        <w:rPr>
          <w:rFonts w:hint="eastAsia" w:ascii="仿宋_GB2312" w:eastAsia="仿宋_GB2312"/>
          <w:sz w:val="30"/>
          <w:szCs w:val="30"/>
        </w:rPr>
        <w:t>，现就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sz w:val="30"/>
          <w:szCs w:val="30"/>
          <w:lang w:val="zh-CN"/>
        </w:rPr>
        <w:t>供热中心1#及2#炉设备维修项目</w:t>
      </w:r>
      <w:r>
        <w:rPr>
          <w:rFonts w:hint="eastAsia" w:ascii="仿宋_GB2312" w:eastAsia="仿宋_GB2312"/>
          <w:sz w:val="30"/>
          <w:szCs w:val="30"/>
        </w:rPr>
        <w:t>进行</w:t>
      </w:r>
      <w:r>
        <w:rPr>
          <w:rFonts w:hint="eastAsia" w:ascii="仿宋_GB2312" w:eastAsia="仿宋_GB2312"/>
          <w:sz w:val="30"/>
          <w:szCs w:val="30"/>
          <w:lang w:eastAsia="zh-CN"/>
        </w:rPr>
        <w:t>询比价</w:t>
      </w:r>
      <w:r>
        <w:rPr>
          <w:rFonts w:hint="eastAsia" w:ascii="仿宋_GB2312" w:eastAsia="仿宋_GB2312"/>
          <w:sz w:val="30"/>
          <w:szCs w:val="30"/>
        </w:rPr>
        <w:t>招标，欢迎</w:t>
      </w:r>
      <w:r>
        <w:rPr>
          <w:rFonts w:hint="eastAsia" w:ascii="仿宋_GB2312" w:eastAsia="仿宋_GB2312"/>
          <w:sz w:val="30"/>
          <w:szCs w:val="30"/>
          <w:lang w:eastAsia="zh-CN"/>
        </w:rPr>
        <w:t>有设备维修</w:t>
      </w:r>
      <w:r>
        <w:rPr>
          <w:rFonts w:hint="eastAsia" w:ascii="仿宋_GB2312" w:eastAsia="仿宋_GB2312"/>
          <w:sz w:val="30"/>
          <w:szCs w:val="30"/>
        </w:rPr>
        <w:t>能力</w:t>
      </w:r>
      <w:r>
        <w:rPr>
          <w:rFonts w:hint="eastAsia" w:ascii="仿宋_GB2312" w:eastAsia="仿宋_GB2312"/>
          <w:sz w:val="30"/>
          <w:szCs w:val="30"/>
          <w:lang w:eastAsia="zh-CN"/>
        </w:rPr>
        <w:t>以及维修经验</w:t>
      </w:r>
      <w:r>
        <w:rPr>
          <w:rFonts w:hint="eastAsia" w:ascii="仿宋_GB2312" w:eastAsia="仿宋_GB2312"/>
          <w:sz w:val="30"/>
          <w:szCs w:val="30"/>
        </w:rPr>
        <w:t>的单位参与投标。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88" w:firstLineChars="196"/>
        <w:rPr>
          <w:rFonts w:hint="eastAsia" w:asci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招标项目及标准要求：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sz w:val="30"/>
          <w:szCs w:val="30"/>
        </w:rPr>
        <w:t>名称：</w:t>
      </w:r>
      <w:r>
        <w:rPr>
          <w:rFonts w:hint="eastAsia" w:ascii="仿宋_GB2312" w:eastAsia="仿宋_GB2312"/>
          <w:sz w:val="30"/>
          <w:szCs w:val="30"/>
          <w:lang w:val="zh-CN"/>
        </w:rPr>
        <w:t>山东岱岳制盐有限公司供热中心1#及2#炉设备维修项目。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sz w:val="30"/>
          <w:szCs w:val="30"/>
        </w:rPr>
        <w:t>地点：山东</w:t>
      </w:r>
      <w:r>
        <w:rPr>
          <w:rFonts w:hint="eastAsia" w:ascii="仿宋_GB2312" w:eastAsia="仿宋_GB2312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sz w:val="30"/>
          <w:szCs w:val="30"/>
        </w:rPr>
        <w:t>有限公司</w:t>
      </w:r>
      <w:r>
        <w:rPr>
          <w:rFonts w:hint="eastAsia" w:ascii="仿宋_GB2312" w:eastAsia="仿宋_GB2312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sz w:val="30"/>
          <w:szCs w:val="30"/>
        </w:rPr>
        <w:t>内容：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3.1 供热中心1#炉及2#炉部分设备、配件更换及维修，具体更换及维修的内容详见项目清单，为交钥匙工程；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3.2 1#及2#炉设备维修项目清单：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023"/>
        <w:gridCol w:w="738"/>
        <w:gridCol w:w="716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维修内容及要求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1#炉东侧定排集箱漏点补焊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焊补集箱漏点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1#及2#炉主给水旁路门更换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主给水旁路门规格型号为DN100、PN100，需拆除原主给水旁路门及法兰，随后焊接法兰并新装阀门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2#炉给水取样阀更换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拆除并更换DN20取样阀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主蒸汽电动门漏汽处理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主蒸汽电动门规格为DZW90-24-A00-DSI，需拆卸阀门盖，更换垫片并维修阀门盖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2#炉二次风机联轴器更换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拆卸电机并将电机移位后更换风机及电机侧联轴器及扭力垫，随后清理电机基础并复装电机，最后校正电机及风机中心及平衡。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C循环泵叶轮、出口短节及入口管更换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1、循环泵入口管为φ480mm，总长2.16m，两端为法兰连接，需拆除原入口管后再拆卸并更换C循环泵叶轮，最后复装循环泵及新入口管；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2、出口短接为椎体，总长320mm、两端口径为300及400mm，为法兰连接，需整体拆除并更换；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3、C循环泵叶轮拆卸后更换新叶轮并回复循环泵正常运行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A循环泵叶轮更换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A循环泵叶轮拆卸后更换新叶轮并回复循环泵正常运行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0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2#机排汽电动门西侧法兰垫子更换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7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2#机排汽电动门为DN500闸阀，需拆卸西侧法兰并更换金属缠绕垫，最后复装阀门，如经检查阀门确需维修的，维修费用另计。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3.4 维修项目包含但不限于以上内容，直至以上设备恢复应具备的正常使用功能；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3.5 维修所需的阀门、垫片、联轴器、循环泵叶轮、出口短节及入口管等主材由招标方负责，投标方负责除主材以外的辅材、人工、焊机、脚手架、吊车等辅助设备设施。</w:t>
      </w:r>
    </w:p>
    <w:p>
      <w:pPr>
        <w:numPr>
          <w:ilvl w:val="0"/>
          <w:numId w:val="2"/>
        </w:numPr>
        <w:spacing w:line="360" w:lineRule="auto"/>
        <w:ind w:left="30" w:leftChars="0" w:firstLine="60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费用包含除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维修所需的主材以外的辅材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、设备拆装、人工、焊接、校正、焊机、脚手架、车辆租赁、材料运输、安全施工、税费、验收、检测等一切费用，直至设备恢复正常使用功能，为交钥匙工程。</w:t>
      </w:r>
    </w:p>
    <w:p>
      <w:pPr>
        <w:numPr>
          <w:ilvl w:val="0"/>
          <w:numId w:val="2"/>
        </w:numPr>
        <w:spacing w:line="360" w:lineRule="auto"/>
        <w:ind w:left="30" w:leftChars="0" w:firstLine="60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付款方式：</w:t>
      </w:r>
    </w:p>
    <w:p>
      <w:pPr>
        <w:pStyle w:val="7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本工程无预付款,施工完成并经验收合格后，付至结算金额的85%,同时开具全额增值税专用发票。正常使用（运行）6个月后付至合同金额的97%，余款3%作为质保金,期满后无质量问题30个工作日内一次无息付清，付款方式为现汇或电子承兑支付；</w:t>
      </w:r>
    </w:p>
    <w:p>
      <w:pPr>
        <w:pStyle w:val="7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6、其它要求：</w:t>
      </w:r>
    </w:p>
    <w:p>
      <w:pPr>
        <w:pStyle w:val="7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6.1 建议投标方提前踏勘现场后再进行报价；</w:t>
      </w:r>
    </w:p>
    <w:p>
      <w:pPr>
        <w:pStyle w:val="7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6.2 施工过程中，要服从招标方管理，按招标方现场提出的质量要求进行整改；</w:t>
      </w:r>
    </w:p>
    <w:p>
      <w:pPr>
        <w:pStyle w:val="7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6.3 招标方需提供高压焊工等作业人员的资质证书，符合安全标准；</w:t>
      </w:r>
    </w:p>
    <w:p>
      <w:pPr>
        <w:pStyle w:val="7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6.5 开工前需提供详细的施工方案及安全施工方案，详列施工防护措施、安全施工措施等，施工措施必须符合安全要求；</w:t>
      </w:r>
    </w:p>
    <w:p>
      <w:pPr>
        <w:pStyle w:val="7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6.6 质保期：自验收合格之日起1年。</w:t>
      </w:r>
    </w:p>
    <w:p>
      <w:pPr>
        <w:spacing w:line="360" w:lineRule="auto"/>
        <w:ind w:firstLine="675" w:firstLineChars="225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施工技术要求：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1、设备维修完成后投标方需提供全程维修记录交由招标方备案；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2、其他详见工程施工内容。</w:t>
      </w:r>
    </w:p>
    <w:p>
      <w:pPr>
        <w:spacing w:line="360" w:lineRule="auto"/>
        <w:ind w:firstLine="675" w:firstLineChars="225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投标资格要求：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具有国内法人资格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须具备有效的营业执照，且具备</w:t>
      </w:r>
      <w:r>
        <w:rPr>
          <w:rFonts w:hint="eastAsia" w:ascii="仿宋_GB2312" w:eastAsia="仿宋_GB2312"/>
          <w:sz w:val="30"/>
          <w:szCs w:val="30"/>
          <w:lang w:val="zh-CN" w:eastAsia="zh-CN"/>
        </w:rPr>
        <w:t>特种设备生产许可证（包括设计、制造、安装、改造、修理）或相关特种设备（压力容器）制造、安装、改造、修理等资质证书。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投标所需文件：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投标需要提供</w:t>
      </w:r>
      <w:r>
        <w:rPr>
          <w:rFonts w:hint="eastAsia" w:ascii="仿宋_GB2312" w:hAnsi="仿宋_GB2312" w:eastAsia="仿宋_GB2312" w:cs="仿宋_GB2312"/>
          <w:sz w:val="30"/>
          <w:szCs w:val="30"/>
        </w:rPr>
        <w:t>报价单、公司营业执照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复印件、</w:t>
      </w:r>
      <w:r>
        <w:rPr>
          <w:rFonts w:hint="eastAsia" w:ascii="仿宋_GB2312" w:hAnsi="仿宋_GB2312" w:eastAsia="仿宋_GB2312" w:cs="仿宋_GB2312"/>
          <w:sz w:val="30"/>
          <w:szCs w:val="30"/>
        </w:rPr>
        <w:t>资质文件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、安全生产许可证、特殊工种（特种作业及特种设备作业）作业人员上岗证复印件，以上文件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加盖公章。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投标时间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12:00</w:t>
      </w:r>
      <w:r>
        <w:rPr>
          <w:rFonts w:hint="eastAsia" w:ascii="仿宋_GB2312" w:eastAsia="仿宋_GB2312"/>
          <w:sz w:val="30"/>
          <w:szCs w:val="30"/>
          <w:lang w:eastAsia="zh-CN"/>
        </w:rPr>
        <w:t>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6月16日24:00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360" w:lineRule="auto"/>
        <w:ind w:firstLine="678" w:firstLineChars="225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/>
          <w:bCs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1、线上，登录隆道云平台报价</w:t>
      </w:r>
      <w:r>
        <w:rPr>
          <w:rFonts w:hint="eastAsia" w:ascii="仿宋_GB2312" w:eastAsia="仿宋_GB2312"/>
          <w:sz w:val="30"/>
          <w:szCs w:val="30"/>
          <w:lang w:eastAsia="zh-CN"/>
        </w:rPr>
        <w:t>或山东岱岳制盐有限公司官网（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6月16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6月16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3、有意投标的单位可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pacing w:line="360" w:lineRule="auto"/>
        <w:ind w:firstLine="678" w:firstLineChars="225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七、 其 他：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施工工期：有且仅有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3日历天；</w:t>
      </w:r>
    </w:p>
    <w:p>
      <w:pPr>
        <w:spacing w:line="360" w:lineRule="auto"/>
        <w:ind w:firstLine="675" w:firstLineChars="225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联系方式：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</w:t>
      </w:r>
      <w:r>
        <w:rPr>
          <w:rFonts w:hint="eastAsia" w:ascii="仿宋_GB2312" w:eastAsia="仿宋_GB2312"/>
          <w:sz w:val="30"/>
          <w:szCs w:val="30"/>
          <w:lang w:eastAsia="zh-CN"/>
        </w:rPr>
        <w:t>郑国丰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lang w:eastAsia="zh-CN"/>
        </w:rPr>
        <w:t>安凯征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高德山   </w:t>
      </w:r>
      <w:r>
        <w:rPr>
          <w:rFonts w:hint="eastAsia" w:ascii="仿宋_GB2312" w:eastAsia="仿宋_GB2312"/>
          <w:sz w:val="30"/>
          <w:szCs w:val="30"/>
          <w:lang w:eastAsia="zh-CN"/>
        </w:rPr>
        <w:t>张毅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移动电话：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13127274866  13583857706 13563823376 13705382602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单位名称：山东</w:t>
      </w:r>
      <w:r>
        <w:rPr>
          <w:rFonts w:hint="eastAsia" w:ascii="仿宋_GB2312" w:eastAsia="仿宋_GB2312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sz w:val="30"/>
          <w:szCs w:val="30"/>
        </w:rPr>
        <w:t>有限公司</w:t>
      </w:r>
      <w:r>
        <w:rPr>
          <w:rFonts w:ascii="仿宋_GB2312" w:eastAsia="仿宋_GB2312"/>
          <w:sz w:val="30"/>
          <w:szCs w:val="30"/>
        </w:rPr>
        <w:br w:type="textWrapping"/>
      </w:r>
      <w:r>
        <w:rPr>
          <w:rFonts w:eastAsia="仿宋_GB2312"/>
          <w:sz w:val="30"/>
          <w:szCs w:val="30"/>
        </w:rPr>
        <w:t>    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单位地址：泰安市大汶口石膏工业园</w:t>
      </w:r>
      <w:r>
        <w:rPr>
          <w:rFonts w:hint="eastAsia" w:ascii="仿宋_GB2312" w:eastAsia="仿宋_GB2312"/>
          <w:sz w:val="30"/>
          <w:szCs w:val="30"/>
          <w:lang w:eastAsia="zh-CN"/>
        </w:rPr>
        <w:t>区</w:t>
      </w:r>
    </w:p>
    <w:p>
      <w:pPr>
        <w:spacing w:line="360" w:lineRule="auto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hint="eastAsia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附表：报价单</w:t>
      </w:r>
    </w:p>
    <w:tbl>
      <w:tblPr>
        <w:tblStyle w:val="4"/>
        <w:tblpPr w:leftFromText="180" w:rightFromText="180" w:vertAnchor="text" w:horzAnchor="page" w:tblpX="1690" w:tblpY="230"/>
        <w:tblOverlap w:val="never"/>
        <w:tblW w:w="864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80"/>
        <w:gridCol w:w="1907"/>
        <w:gridCol w:w="1096"/>
        <w:gridCol w:w="1200"/>
        <w:gridCol w:w="1258"/>
        <w:gridCol w:w="1159"/>
      </w:tblGrid>
      <w:tr>
        <w:tblPrEx>
          <w:shd w:val="clear" w:color="auto" w:fill="auto"/>
        </w:tblPrEx>
        <w:trPr>
          <w:trHeight w:val="474" w:hRule="atLeast"/>
        </w:trPr>
        <w:tc>
          <w:tcPr>
            <w:tcW w:w="864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山东岱岳制盐有限公司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供热中心1#及2#炉设备维修项目</w:t>
            </w: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报价单位：</w:t>
            </w:r>
          </w:p>
        </w:tc>
        <w:tc>
          <w:tcPr>
            <w:tcW w:w="66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6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项目名称：</w:t>
            </w:r>
          </w:p>
        </w:tc>
        <w:tc>
          <w:tcPr>
            <w:tcW w:w="66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供热中心1#及2#炉设备维修项目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报价内容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维修施工内容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报价单价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（单位)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1#炉东侧定排集箱漏点补焊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1#及2#炉主给水旁路门更换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2#炉给水取样阀更换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主蒸汽电动门漏汽处理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2#炉二次风机联轴器更换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C循环泵叶轮、出口短节及入口管更换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A循环泵叶轮更换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2#机排汽电动门西侧法兰垫子更换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费用总计：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施工单位（盖章）： 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7A4D23"/>
    <w:multiLevelType w:val="singleLevel"/>
    <w:tmpl w:val="377A4D23"/>
    <w:lvl w:ilvl="0" w:tentative="0">
      <w:start w:val="4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180366CA"/>
    <w:rsid w:val="018B1F6C"/>
    <w:rsid w:val="08CB0CA3"/>
    <w:rsid w:val="128924E5"/>
    <w:rsid w:val="14626C5D"/>
    <w:rsid w:val="158B5A0B"/>
    <w:rsid w:val="180366CA"/>
    <w:rsid w:val="2C2C0D5F"/>
    <w:rsid w:val="2F056CA6"/>
    <w:rsid w:val="34F717AB"/>
    <w:rsid w:val="37402A68"/>
    <w:rsid w:val="3A930A3A"/>
    <w:rsid w:val="4466385E"/>
    <w:rsid w:val="4567013B"/>
    <w:rsid w:val="45754928"/>
    <w:rsid w:val="490E01ED"/>
    <w:rsid w:val="4A7325EF"/>
    <w:rsid w:val="4A925C52"/>
    <w:rsid w:val="4BF84CFA"/>
    <w:rsid w:val="52062F8B"/>
    <w:rsid w:val="559053AC"/>
    <w:rsid w:val="578446B7"/>
    <w:rsid w:val="578A5B49"/>
    <w:rsid w:val="58903C42"/>
    <w:rsid w:val="597978A2"/>
    <w:rsid w:val="5B2E487D"/>
    <w:rsid w:val="5C2F1B0C"/>
    <w:rsid w:val="63033567"/>
    <w:rsid w:val="6E407B6E"/>
    <w:rsid w:val="72916C25"/>
    <w:rsid w:val="74A03DA4"/>
    <w:rsid w:val="79B93D5C"/>
    <w:rsid w:val="7A4F5E85"/>
    <w:rsid w:val="7B7C101C"/>
    <w:rsid w:val="7BB84D58"/>
    <w:rsid w:val="7D9C0B73"/>
    <w:rsid w:val="7DBE7BF4"/>
    <w:rsid w:val="7F0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939"/>
      <w:outlineLvl w:val="1"/>
    </w:pPr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1843</Words>
  <Characters>2044</Characters>
  <Lines>0</Lines>
  <Paragraphs>0</Paragraphs>
  <TotalTime>2</TotalTime>
  <ScaleCrop>false</ScaleCrop>
  <LinksUpToDate>false</LinksUpToDate>
  <CharactersWithSpaces>2217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2022-05-05T05:14:00Z</dcterms:created>
  <dc:creator>烟叶儿</dc:creator>
  <cp:lastModifiedBy>张毅</cp:lastModifiedBy>
  <dcterms:modified xsi:type="dcterms:W3CDTF">2023-06-14T00:51:13Z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65A87CC00C0D4BF387F5ABBA2E35B977</vt:lpwstr>
  </property>
</Properties>
</file>