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0" w:lineRule="atLeas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山东东岳盐业有限公司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电气照明消防施工项目</w:t>
      </w: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eastAsia="zh-CN"/>
        </w:rPr>
        <w:t>询比价</w:t>
      </w: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027</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lang w:eastAsia="zh-CN"/>
        </w:rPr>
        <w:t>山东东岳盐业</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6</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29日</w:t>
      </w:r>
    </w:p>
    <w:p>
      <w:pPr>
        <w:jc w:val="center"/>
        <w:rPr>
          <w:rFonts w:hint="eastAsia" w:ascii="方正小标宋简体" w:hAnsi="宋体" w:eastAsia="方正小标宋简体" w:cs="Times New Roman"/>
          <w:sz w:val="44"/>
          <w:szCs w:val="44"/>
        </w:rPr>
      </w:pPr>
    </w:p>
    <w:p>
      <w:pPr>
        <w:pStyle w:val="2"/>
        <w:rPr>
          <w:rFonts w:hint="eastAsia"/>
        </w:rPr>
      </w:pPr>
    </w:p>
    <w:p>
      <w:pPr>
        <w:jc w:val="both"/>
        <w:rPr>
          <w:rFonts w:hint="eastAsia" w:ascii="方正小标宋简体" w:hAnsi="宋体" w:eastAsia="方正小标宋简体" w:cs="Times New Roman"/>
          <w:sz w:val="44"/>
          <w:szCs w:val="44"/>
        </w:rPr>
      </w:pPr>
    </w:p>
    <w:p>
      <w:pPr>
        <w:jc w:val="center"/>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电气照明消防施工项目</w:t>
      </w:r>
      <w:r>
        <w:rPr>
          <w:rFonts w:hint="eastAsia" w:ascii="仿宋_GB2312" w:hAnsi="宋体" w:eastAsia="仿宋_GB2312" w:cs="Times New Roman"/>
          <w:sz w:val="32"/>
          <w:szCs w:val="32"/>
        </w:rPr>
        <w:t>，招标单位</w:t>
      </w:r>
      <w:r>
        <w:rPr>
          <w:rFonts w:hint="eastAsia" w:ascii="仿宋_GB2312" w:hAnsi="宋体" w:eastAsia="仿宋_GB2312" w:cs="Times New Roman"/>
          <w:sz w:val="32"/>
          <w:szCs w:val="32"/>
          <w:lang w:eastAsia="zh-CN"/>
        </w:rPr>
        <w:t>山东东岳盐业</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项目名称：山东东岳盐业有限公司电气照明</w:t>
      </w:r>
      <w:r>
        <w:rPr>
          <w:rFonts w:hint="eastAsia" w:ascii="仿宋_GB2312" w:hAnsi="宋体" w:eastAsia="仿宋_GB2312" w:cs="Times New Roman"/>
          <w:sz w:val="32"/>
          <w:szCs w:val="32"/>
          <w:lang w:val="en-US" w:eastAsia="zh-CN"/>
        </w:rPr>
        <w:t>消防施工</w:t>
      </w:r>
      <w:r>
        <w:rPr>
          <w:rFonts w:hint="eastAsia" w:ascii="仿宋_GB2312" w:hAnsi="宋体" w:eastAsia="仿宋_GB2312" w:cs="Times New Roman"/>
          <w:sz w:val="32"/>
          <w:szCs w:val="32"/>
          <w:lang w:eastAsia="zh-CN"/>
        </w:rPr>
        <w:t>项目</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2、项目地点：山东东岳盐业有限公司院内。</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 xml:space="preserve">⑴ </w:t>
      </w:r>
      <w:bookmarkStart w:id="0" w:name="OLE_LINK1"/>
      <w:r>
        <w:rPr>
          <w:rFonts w:hint="eastAsia" w:ascii="仿宋_GB2312" w:hAnsi="宋体" w:eastAsia="仿宋_GB2312" w:cs="Times New Roman"/>
          <w:sz w:val="32"/>
          <w:szCs w:val="32"/>
          <w:lang w:val="en-US" w:eastAsia="zh-CN"/>
        </w:rPr>
        <w:t>项目为山东东岳盐业有限公司变频器室改造工程分项：照明、接地、火灾报警施工项目，包括变频器室照明、应急照明、防雷接地、线路敷设和火灾报警等施工内容。投标方按照施工图纸完成设备制造、组装、现场安装、检测、调试、试运行等项施工内容，</w:t>
      </w:r>
      <w:r>
        <w:rPr>
          <w:rFonts w:hint="eastAsia" w:ascii="仿宋_GB2312" w:hAnsi="宋体" w:eastAsia="仿宋_GB2312" w:cs="Times New Roman"/>
          <w:b w:val="0"/>
          <w:i w:val="0"/>
          <w:caps w:val="0"/>
          <w:spacing w:val="0"/>
          <w:w w:val="100"/>
          <w:sz w:val="32"/>
          <w:szCs w:val="32"/>
          <w:lang w:val="en-US" w:eastAsia="zh-CN"/>
        </w:rPr>
        <w:t>为交钥匙工程。工程量</w:t>
      </w:r>
      <w:r>
        <w:rPr>
          <w:rFonts w:hint="eastAsia" w:ascii="仿宋_GB2312" w:hAnsi="宋体" w:eastAsia="仿宋_GB2312" w:cs="Times New Roman"/>
          <w:sz w:val="32"/>
          <w:szCs w:val="32"/>
          <w:lang w:val="en-US" w:eastAsia="zh-CN"/>
        </w:rPr>
        <w:t>详见后附材料、货物清单以及图纸</w:t>
      </w:r>
      <w:r>
        <w:rPr>
          <w:rFonts w:hint="eastAsia" w:ascii="仿宋_GB2312" w:hAnsi="宋体" w:eastAsia="仿宋_GB2312" w:cs="Times New Roman"/>
          <w:b w:val="0"/>
          <w:i w:val="0"/>
          <w:caps w:val="0"/>
          <w:spacing w:val="0"/>
          <w:w w:val="100"/>
          <w:sz w:val="32"/>
          <w:szCs w:val="32"/>
          <w:lang w:val="en-US" w:eastAsia="zh-CN"/>
        </w:rPr>
        <w:t>；</w:t>
      </w:r>
    </w:p>
    <w:p>
      <w:pPr>
        <w:numPr>
          <w:ilvl w:val="-1"/>
          <w:numId w:val="0"/>
        </w:numPr>
        <w:ind w:firstLine="640" w:firstLineChars="200"/>
        <w:rPr>
          <w:rFonts w:hint="default"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lang w:val="en-US" w:eastAsia="zh-CN"/>
        </w:rPr>
        <w:t>⑵以材料、货物清单</w:t>
      </w:r>
      <w:r>
        <w:rPr>
          <w:rFonts w:hint="eastAsia" w:ascii="仿宋_GB2312" w:hAnsi="宋体" w:eastAsia="仿宋_GB2312" w:cs="Times New Roman"/>
          <w:sz w:val="32"/>
          <w:szCs w:val="32"/>
          <w:lang w:eastAsia="zh-CN"/>
        </w:rPr>
        <w:t>和后附图纸中所载明的</w:t>
      </w:r>
      <w:r>
        <w:rPr>
          <w:rFonts w:hint="eastAsia" w:ascii="仿宋_GB2312" w:hAnsi="宋体" w:eastAsia="仿宋_GB2312" w:cs="Times New Roman"/>
          <w:b w:val="0"/>
          <w:i w:val="0"/>
          <w:caps w:val="0"/>
          <w:spacing w:val="0"/>
          <w:w w:val="100"/>
          <w:sz w:val="32"/>
          <w:szCs w:val="32"/>
          <w:lang w:val="en-US" w:eastAsia="zh-CN"/>
        </w:rPr>
        <w:t>设备、元件、材料作为报价及供货的依据，同时不得超出图纸范围。</w:t>
      </w:r>
      <w:r>
        <w:rPr>
          <w:rFonts w:hint="eastAsia" w:ascii="仿宋_GB2312" w:hAnsi="宋体" w:eastAsia="仿宋_GB2312" w:cs="Times New Roman"/>
          <w:sz w:val="32"/>
          <w:szCs w:val="32"/>
          <w:lang w:val="en-US" w:eastAsia="zh-CN"/>
        </w:rPr>
        <w:t>材料、货物清单</w:t>
      </w:r>
      <w:r>
        <w:rPr>
          <w:rFonts w:hint="eastAsia" w:ascii="仿宋_GB2312" w:hAnsi="宋体" w:eastAsia="仿宋_GB2312" w:cs="Times New Roman"/>
          <w:b w:val="0"/>
          <w:i w:val="0"/>
          <w:caps w:val="0"/>
          <w:spacing w:val="0"/>
          <w:w w:val="100"/>
          <w:sz w:val="32"/>
          <w:szCs w:val="32"/>
          <w:lang w:val="en-US" w:eastAsia="zh-CN"/>
        </w:rPr>
        <w:t>与图纸不符的依据图纸。</w:t>
      </w:r>
      <w:bookmarkEnd w:id="0"/>
    </w:p>
    <w:p>
      <w:p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4、工程承包范围：</w:t>
      </w:r>
      <w:r>
        <w:rPr>
          <w:rFonts w:hint="eastAsia" w:ascii="仿宋_GB2312" w:hAnsi="宋体" w:eastAsia="仿宋_GB2312" w:cs="Times New Roman"/>
          <w:b w:val="0"/>
          <w:i w:val="0"/>
          <w:caps w:val="0"/>
          <w:spacing w:val="0"/>
          <w:w w:val="100"/>
          <w:sz w:val="32"/>
          <w:szCs w:val="32"/>
          <w:lang w:val="en-US" w:eastAsia="zh-CN"/>
        </w:rPr>
        <w:t>施工费用包含</w:t>
      </w:r>
      <w:r>
        <w:rPr>
          <w:rFonts w:hint="eastAsia" w:ascii="仿宋_GB2312" w:hAnsi="宋体" w:eastAsia="仿宋_GB2312" w:cs="Times New Roman"/>
          <w:i w:val="0"/>
          <w:iCs w:val="0"/>
          <w:color w:val="auto"/>
          <w:kern w:val="2"/>
          <w:sz w:val="32"/>
          <w:szCs w:val="32"/>
          <w:u w:val="none"/>
          <w:lang w:val="en-US" w:eastAsia="zh-CN" w:bidi="ar-SA"/>
        </w:rPr>
        <w:t>钢材、管材、电缆、电气元件等所有主材、辅材以及设计、</w:t>
      </w:r>
      <w:r>
        <w:rPr>
          <w:rFonts w:hint="eastAsia" w:ascii="仿宋_GB2312" w:hAnsi="宋体" w:eastAsia="仿宋_GB2312" w:cs="Times New Roman"/>
          <w:b w:val="0"/>
          <w:i w:val="0"/>
          <w:caps w:val="0"/>
          <w:spacing w:val="0"/>
          <w:w w:val="100"/>
          <w:sz w:val="32"/>
          <w:szCs w:val="32"/>
          <w:lang w:val="en-US" w:eastAsia="zh-CN"/>
        </w:rPr>
        <w:t>制造、运输、机械、吊车、人工、安装、土建以及回复、安全施工、保养、保险、税费、验收、第三方审计或验收、检测、调试等一切费用，为总包交钥匙工程；</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本工程无预付款,施工完成并经验收合格后，付至结算金额的90%,同时开具全额增值税专用发票。余款10%作为质保金,期满后无质量问题30个工作日内一次无息付清，付款方式为现汇或电子承兑支付；</w:t>
      </w:r>
    </w:p>
    <w:p>
      <w:pPr>
        <w:numPr>
          <w:ilvl w:val="0"/>
          <w:numId w:val="0"/>
        </w:numPr>
        <w:bidi w:val="0"/>
        <w:spacing w:line="24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6、施工技术要求：</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（一）、接地和照明部分</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1、照明控制符合《建筑照明设计标准》GB50034-2013中第7.3条规定。</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2、开关、插座和照明灯具靠近可燃物时,应采取隔热、散热等防火措施。</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消防应急照明灯具在侧面墙上顶部安装时,其底部距地面距离不得低于2m,安装在地面上时,灯具的所有金属构件应采用耐腐蚀构件或做防腐处理,电源连接和控制线应采用密封胶密封,标志灯具表面应与地面平行,与地面高度差不宜大于3mm。配电室疏散照明照度不应低于1.0lx,楼梯间、前室或合用前室、避难走道,不应低于5.0lx。</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本工程基础结构形式为钢筋混凝土结构。建筑物耐火等级为二级,其他配电室等房间火灾危险性分类为丁类。该电气室消防用电负荷等级为二级,消防集中电源箱采用两路电源供电,一路来自低压配电室,一路来自业主消防系统,两路电源自动切换。</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各电气设备(包括各控制柜、操作箱、照明灯具金属外壳等)及电缆支架等正常不带电金属部分均与接地网可靠连接。建筑物设防,利用接地体进行保护,检测点按国家规范规定制作,安装方式见标准图14D504。突出屋面的金属物体应和屋面的防雷装置相连,接地体,接闪带。</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6、照明配电箱、应急照明集中电源箱、应急照明控制器安装高度:箱底距地1.4m;等电位箱安装高度:箱底距地0.4m;跷板开关的安装高度为:距地1.4m;电气插座安装高度:距地0.3m:建筑物内照明开关、插座暗装,距门框0.2m。</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7、本工程设备选择的照明灯具必须通过国家强制性产品认证。同时报招标人同意后方可使用。</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8.应急照明、疏散指示标志应符合GB51309-2018要求。 </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9.正常照明与应急照明线路不得共管敷设。应急照明线路暗敷时应穿管敷设在不燃烧体结构内且保护层厚度不小于30mm。</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10.当采用有机绝缘耐火电缆为消防设备供电的线路,采用明敷设、吊顶内敷设或架空地板内敷设时,应穿金属导管或封闭式金属线槽保护;所穿金属导管或封闭式金属线槽应采取涂防火涂料等防火保护措施;当线路暗敷设时,应穿金属导管或难燃型刚性塑料导管保护,并应敷设在不燃烧结构内,且保护层厚度不应小于30mm;消防配电线路穿电井应采用矿物绝缘类不燃性电缆。</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11.应急照明灯和疏散指示标志应设玻璃或其他不燃烧材料制作的保护罩。应急照明灯具自带蓄电池(供电时间不低于30分钟)。</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12.出口标志灯在门上方安装时,底边距门框0.2m;若门上无法安装时,在门旁墙上安装,顶距吊顶50mm;出口标志灯明装;疏散诱导灯有墙时底边距地0.5m暗装,无墙时管吊安装。</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13.消防用电设备应采用专用的供电回路,其配电设备应设有明显标志。其配电线路和控制回路宜按防火分区划分。</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14.  室外接地水平接地体采用50X5热镀锌扁钢,埋设深度为地坪下-0.8m;接地网的外缘应闭合,外缘各角应做成圆弧形,圆弧的半径不小于3m,室内接地体采用50X4热镀锌扁钢。室内所有正常不带电的电气设备金属外壳、设备底座等采用保护接地,与接地网应可靠联结为一体。防雷接地与电气系统接地装置共用,接地电阻不大于4Ω,如不满足要求,增加接地极数量。</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（二）、消防部分</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1.系统型式:</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本火灾报警系统属于区域火灾报警系统,区域火灾报警控制器设在值班室内,系统采用总线制接线方式,由智能光电感烟探测器、手动报警按钮、声光报警器、智能控制模块、智能监视模块等组成。</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2.报警区域:</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将低压配电室区域、变频室区域划分为独立的报警区域。</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3.探测区域:</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电气室内每个独立房(套)间划分为一个独立的探测区域。</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4.线路敷设:</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所有线路采用阻燃型或耐火型电缆(导线),在有吊顶区域采用穿镀锌钢管暗敷方式,其它路径明敷。不同电压等级的线路不能共管敷设。所有明配镀锌钢管表面需涂刷防火涂料,涂料厚约0.5-1mm(具体可按产品的使用说明书进行调整)。施工过程中如果图纸中的线路走向与现场实际情况不符时,根据现场实际情况可做适当调整。</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5.设备安装:</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点型感烟探测器安装参考探测半径居中布置,探测器至空调送风口水平距离不应小于1.5m,小于1.5m时请酌情移位,探测器周围0.5m内不应有遮挡物;手动报警按钮、联动控制箱及模块(转换盒)箱底边距地1.5m安装;  火灾报警控制器在墙上安装时,其底边距地(楼)面高度宜为1.3~1.5m,其靠近门轴的侧面距墙不应小于0.5m,正面操作距离不应小于1.2m。声光报警器安装高度为底部距地2.2米,安装时应注意与消防应急疏散指示标志不位于同一面墙。智能控制模块安装在模块箱内。未集中设置的模块附近应有尺寸不小于100mm*140mm标识牌。手动报警按钮应设置明显标识牌。</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6.联动控制:</w:t>
      </w:r>
    </w:p>
    <w:p>
      <w:pPr>
        <w:spacing w:line="240" w:lineRule="auto"/>
        <w:ind w:firstLine="960" w:firstLineChars="3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火灾自动报警系统应设置火灾声光警报器,并应在确认火灾后启动建筑内的所有火灾声光警报器。报警区域:任意一个火灾探测器或手动报警按钮报火警时,相应报警分区的声光报警器动作。与防火分区相关联的空调、风机控制箱、应急照明回路等按照国家标准规范应参与消防系统联动的设备,均应实现火灾报警与系统联动功能。</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消防联动控制器应能按设定的控制逻辑向各相关的受控设备发出联动控制信号,并接受相关设备的联动反馈信号。各受控设备接口的特性参数应与消防联动控制器发出的联动控制信号相匹配。消防水泵、防烟和排烟风机的控制设备,除应采用联动控制方式外,还应在消防控制室设置手动直接控制装置。 </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需要火灾自动报警系统联动控制的消防设备,其联动触发信号应采用两个独立的报警触发装置报警信号的"与"逻辑组合。</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7.电源要求:</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本项目中,火灾报警电源来自低压配电室预留供电回路,具体回路编号见相关低压施工图,本图仅提供部分管线材料，未提供部分由招标方补足。</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8.接地要求:</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系统采用共用接地,接地干线采用BV-500 25mm2 铜芯绝缘导线,其他接地线采用BV-500 4mm2 铜芯绝缘导线,接地干线由主控室内火灾控制箱的接地铜排穿阻燃硬质塑料管引至就近的系统接地体，接地电阻不大于1Ω，正常时不带电的消防设备金属外壳需可靠接地。</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9.施工要求:严格按照相关规范的要求进行施工,设备施工需停电进行,并应做好设备防护工作。</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10.其他:</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集中电源的蓄电池电源应急时间不小于90min，集中电源的蓄电池组达到使用寿命周期后标称的剩余容量应保证放电时间满足90min持续工作时间。</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val="0"/>
          <w:bCs w:val="0"/>
          <w:sz w:val="32"/>
          <w:szCs w:val="32"/>
          <w:lang w:val="en-US" w:eastAsia="zh-CN"/>
        </w:rPr>
        <w:t>11.以上箱、线，如是暗装，均改为明装，要求按照规范做好安全防护。</w:t>
      </w:r>
    </w:p>
    <w:p>
      <w:pPr>
        <w:numPr>
          <w:ilvl w:val="0"/>
          <w:numId w:val="1"/>
        </w:num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材料、货物清单</w:t>
      </w:r>
    </w:p>
    <w:tbl>
      <w:tblPr>
        <w:tblStyle w:val="9"/>
        <w:tblW w:w="4965" w:type="pct"/>
        <w:tblInd w:w="0" w:type="dxa"/>
        <w:tblLayout w:type="fixed"/>
        <w:tblCellMar>
          <w:top w:w="0" w:type="dxa"/>
          <w:left w:w="108" w:type="dxa"/>
          <w:bottom w:w="0" w:type="dxa"/>
          <w:right w:w="108" w:type="dxa"/>
        </w:tblCellMar>
      </w:tblPr>
      <w:tblGrid>
        <w:gridCol w:w="513"/>
        <w:gridCol w:w="1037"/>
        <w:gridCol w:w="1902"/>
        <w:gridCol w:w="2160"/>
        <w:gridCol w:w="695"/>
        <w:gridCol w:w="685"/>
        <w:gridCol w:w="635"/>
        <w:gridCol w:w="617"/>
        <w:gridCol w:w="643"/>
      </w:tblGrid>
      <w:tr>
        <w:tblPrEx>
          <w:tblCellMar>
            <w:top w:w="0" w:type="dxa"/>
            <w:left w:w="108" w:type="dxa"/>
            <w:bottom w:w="0" w:type="dxa"/>
            <w:right w:w="108" w:type="dxa"/>
          </w:tblCellMar>
        </w:tblPrEx>
        <w:trPr>
          <w:trHeight w:val="255"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ascii="Calibri" w:hAnsi="Calibri" w:eastAsia="宋体" w:cs="Times New Roman"/>
                <w:sz w:val="13"/>
                <w:szCs w:val="13"/>
              </w:rPr>
              <w:br w:type="page"/>
            </w:r>
            <w:r>
              <w:rPr>
                <w:rFonts w:hint="eastAsia" w:ascii="宋体" w:hAnsi="宋体" w:eastAsia="宋体" w:cs="Arial"/>
                <w:kern w:val="0"/>
                <w:sz w:val="13"/>
                <w:szCs w:val="13"/>
              </w:rPr>
              <w:t>序号</w:t>
            </w:r>
          </w:p>
        </w:tc>
        <w:tc>
          <w:tcPr>
            <w:tcW w:w="5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设备编号</w:t>
            </w:r>
          </w:p>
        </w:tc>
        <w:tc>
          <w:tcPr>
            <w:tcW w:w="10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名称</w:t>
            </w:r>
          </w:p>
        </w:tc>
        <w:tc>
          <w:tcPr>
            <w:tcW w:w="12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规格</w:t>
            </w:r>
          </w:p>
        </w:tc>
        <w:tc>
          <w:tcPr>
            <w:tcW w:w="3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单位</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数量</w:t>
            </w:r>
          </w:p>
        </w:tc>
        <w:tc>
          <w:tcPr>
            <w:tcW w:w="3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单价</w:t>
            </w:r>
          </w:p>
        </w:tc>
        <w:tc>
          <w:tcPr>
            <w:tcW w:w="3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总价</w:t>
            </w:r>
          </w:p>
        </w:tc>
        <w:tc>
          <w:tcPr>
            <w:tcW w:w="3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备注</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58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8205201AL</w:t>
            </w: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照明配电箱</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PZ30R-20，暗装</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微型断路器</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NXB-63 C63A 3P</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微型断路器</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NXB-63  C10A 1P</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微型断路器</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NXBLE-63 C16A 2P</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58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8205201ALE</w:t>
            </w: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应急照明集中电源</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A-D-0.3KVA-A200FP</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应急照明控制器</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A-C-A100(75W)</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消防疏散出口标志灯(36V)</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A-BLJC-1OEⅡ1W-A431(1W 36V)</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应急吸顶照明灯(3W)(36V)</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A-ZFJC-E3W-A603(3W 36V)</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8205401MEB</w:t>
            </w:r>
          </w:p>
        </w:tc>
        <w:tc>
          <w:tcPr>
            <w:tcW w:w="107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等电位箱</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300X400X150mm，暗装</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9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58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8205201AP</w:t>
            </w: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动力电源箱</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JXF-4030/20(400*300*200)，暗装，箱体颜色为灰色,色标为RAL7032</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分励脱扣器</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RMM1-160H/4300 125A</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微型断路器</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NXB-63 C40 4P </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微型断路器</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NXB-63 C20 4P</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58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8205301/2AP</w:t>
            </w: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空调电源箱</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PZ30-R6 ，明装</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58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微型断路器</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NXBLE-63 40A 30mA</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9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5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8205401AOB</w:t>
            </w: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风机操作箱</w:t>
            </w:r>
          </w:p>
        </w:tc>
        <w:tc>
          <w:tcPr>
            <w:tcW w:w="1215"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JXF3001(400*300*300)防护等级IP44，箱体颜色为灰色,色标为RAL7032,明装</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双管式荧光灯</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PAK-LED-A02-236-K-II(2X16W)</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12</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配LED灯管</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壁灯</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xml:space="preserve">PAK-LED-M16-007-830 (7W) </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投光灯</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xml:space="preserve">PAK-LED-L03-030-860(30W) </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配2.5m钢管</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跷板式单联单控暗开关</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~250V,10A</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跷板式双联单控暗开关</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~250V,10A</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单相组合式暗插座</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~250V,10A</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空调插座</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~250V,10A</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动力电缆</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ZR-YJV-0.6/1kV 5X6</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15</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动力电缆</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ZR-YJV-0.6/1kV 3X50+1X35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7</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动力电缆</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ZR-YJV-0.6/1kV 5X10</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20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动力电缆</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ZR-YJV-0.6/1kV 4X2.5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20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电线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ZR-BV-500 1X4</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75</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电线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ZR-BV-500 1X2.5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400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控制电缆</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ZC-KVV-500  5X1.5   G20</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12</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耐火电源线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NH-BV-1X2.5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10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无极两总线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NH-RVSP-2X2.5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70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CAN通讯线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NH-RVSP-2X1.5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3</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接地线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ZC-BVR-500  1X25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6</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绝缘硬塑料电线管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φ20</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140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镀锌钢管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G20</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90</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热镀锌钢管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G25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热镀锌钢管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G32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15</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热镀锌钢管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G40</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热镀锌钢管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G65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热镀锌扁钢</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-50X5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lang w:val="en-US" w:eastAsia="zh-CN"/>
              </w:rPr>
              <w:t>12</w:t>
            </w:r>
            <w:r>
              <w:rPr>
                <w:rFonts w:ascii="Arial" w:hAnsi="Arial" w:eastAsia="宋体" w:cs="Arial"/>
                <w:kern w:val="0"/>
                <w:sz w:val="20"/>
                <w:szCs w:val="20"/>
              </w:rPr>
              <w:t>0</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热镀锌扁钢</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58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接地极(热镀锌角钢)</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L50X50X5,L=2500mm</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根</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c>
          <w:tcPr>
            <w:tcW w:w="35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区域火灾报警控制器</w:t>
            </w:r>
          </w:p>
        </w:tc>
        <w:tc>
          <w:tcPr>
            <w:tcW w:w="121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工业消防安全网络化监控子站EI-2000M</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消防专用蓄电池电源</w:t>
            </w:r>
          </w:p>
        </w:tc>
        <w:tc>
          <w:tcPr>
            <w:tcW w:w="1215" w:type="pct"/>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eastAsia="宋体" w:cs="Arial"/>
                <w:kern w:val="0"/>
                <w:sz w:val="20"/>
                <w:szCs w:val="20"/>
              </w:rPr>
            </w:pP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台</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总线联动控制盘</w:t>
            </w:r>
          </w:p>
        </w:tc>
        <w:tc>
          <w:tcPr>
            <w:tcW w:w="1215" w:type="pct"/>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eastAsia="宋体" w:cs="Arial"/>
                <w:kern w:val="0"/>
                <w:sz w:val="20"/>
                <w:szCs w:val="20"/>
              </w:rPr>
            </w:pP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接地装置</w:t>
            </w:r>
          </w:p>
        </w:tc>
        <w:tc>
          <w:tcPr>
            <w:tcW w:w="1215" w:type="pct"/>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eastAsia="宋体" w:cs="Arial"/>
                <w:kern w:val="0"/>
                <w:sz w:val="20"/>
                <w:szCs w:val="20"/>
              </w:rPr>
            </w:pP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联网模块</w:t>
            </w:r>
          </w:p>
        </w:tc>
        <w:tc>
          <w:tcPr>
            <w:tcW w:w="1215" w:type="pct"/>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eastAsia="宋体" w:cs="Arial"/>
                <w:kern w:val="0"/>
                <w:sz w:val="20"/>
                <w:szCs w:val="20"/>
              </w:rPr>
            </w:pP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双电源切换装置</w:t>
            </w:r>
          </w:p>
        </w:tc>
        <w:tc>
          <w:tcPr>
            <w:tcW w:w="1215" w:type="pct"/>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eastAsia="宋体" w:cs="Arial"/>
                <w:kern w:val="0"/>
                <w:sz w:val="20"/>
                <w:szCs w:val="20"/>
              </w:rPr>
            </w:pP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回路卡</w:t>
            </w:r>
          </w:p>
        </w:tc>
        <w:tc>
          <w:tcPr>
            <w:tcW w:w="1215" w:type="pct"/>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eastAsia="宋体" w:cs="Arial"/>
                <w:kern w:val="0"/>
                <w:sz w:val="20"/>
                <w:szCs w:val="20"/>
              </w:rPr>
            </w:pP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智能光电感烟探测器</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编码型 带配套底座</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手动报警按钮</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编码型 带配套底座,电话插孔</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标识牌</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非标,不锈钢材质</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声光报警器</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编码型 带配套底座</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智能控制模块</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编码型 带配套底座</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总线隔离模块</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带配套底座</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模块箱</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可装1个模块</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消防接线端子箱</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IP54</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510"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微机调制器</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与金属屏蔽线型差定温火灾探测器配套 含终端盒</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智能监视模块</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编码型 带配套底座</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微机调制器箱</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可装1个智能监视模块和1个微机调制器</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金属屏蔽线型差定温火灾探测器</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用于电缆桥架,可恢复式</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eastAsia="宋体" w:cs="Arial"/>
                <w:kern w:val="0"/>
                <w:sz w:val="20"/>
                <w:szCs w:val="20"/>
                <w:lang w:val="en-US" w:eastAsia="zh-CN"/>
              </w:rPr>
            </w:pPr>
            <w:r>
              <w:rPr>
                <w:rFonts w:hint="eastAsia" w:ascii="Arial" w:hAnsi="Arial" w:eastAsia="宋体" w:cs="Arial"/>
                <w:kern w:val="0"/>
                <w:sz w:val="20"/>
                <w:szCs w:val="20"/>
                <w:lang w:val="en-US" w:eastAsia="zh-CN"/>
              </w:rPr>
              <w:t>60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电源箱</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镀锌钢管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G15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eastAsia="宋体" w:cs="Arial"/>
                <w:kern w:val="0"/>
                <w:sz w:val="20"/>
                <w:szCs w:val="20"/>
                <w:lang w:val="en-US" w:eastAsia="zh-CN"/>
              </w:rPr>
            </w:pPr>
            <w:r>
              <w:rPr>
                <w:rFonts w:hint="eastAsia" w:ascii="Arial" w:hAnsi="Arial" w:eastAsia="宋体" w:cs="Arial"/>
                <w:kern w:val="0"/>
                <w:sz w:val="20"/>
                <w:szCs w:val="20"/>
                <w:lang w:val="en-US" w:eastAsia="zh-CN"/>
              </w:rPr>
              <w:t>110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套接扣压式薄壁钢管</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65</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镀锌钢管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G25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15</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套接扣压式薄壁钢管</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66</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包塑金属软管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G15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67</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包塑金属软管</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G25</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68</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阻燃双绞软电线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ZR-RVS-2X1.5mm 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80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阻燃双绞软屏蔽线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ZR-RVSP-2X1.5mm 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20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70</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耐火电源线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NH-BV-1X2.5mm 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60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71</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耐火电缆</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NH-YJV-1000 3X4mm 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15</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510"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72</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耐火控制线</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NH-KVV-5X1.5mm 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20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73</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接地电缆</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BV-500-1X25mm 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10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74</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接地电缆</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BV-500-1X4mm 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米</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20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color w:val="FF0000"/>
                <w:kern w:val="0"/>
                <w:sz w:val="20"/>
                <w:szCs w:val="20"/>
              </w:rPr>
            </w:pPr>
            <w:r>
              <w:rPr>
                <w:rFonts w:ascii="Arial" w:hAnsi="Arial" w:eastAsia="宋体" w:cs="Arial"/>
                <w:color w:val="FF0000"/>
                <w:kern w:val="0"/>
                <w:sz w:val="20"/>
                <w:szCs w:val="20"/>
              </w:rPr>
              <w:t>　</w:t>
            </w:r>
          </w:p>
        </w:tc>
        <w:tc>
          <w:tcPr>
            <w:tcW w:w="36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FF0000"/>
                <w:kern w:val="0"/>
                <w:sz w:val="20"/>
                <w:szCs w:val="20"/>
              </w:rPr>
            </w:pPr>
          </w:p>
        </w:tc>
      </w:tr>
      <w:tr>
        <w:tblPrEx>
          <w:tblCellMar>
            <w:top w:w="0" w:type="dxa"/>
            <w:left w:w="108" w:type="dxa"/>
            <w:bottom w:w="0" w:type="dxa"/>
            <w:right w:w="108" w:type="dxa"/>
          </w:tblCellMar>
        </w:tblPrEx>
        <w:trPr>
          <w:trHeight w:val="25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75</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防火涂料</w:t>
            </w:r>
          </w:p>
        </w:tc>
        <w:tc>
          <w:tcPr>
            <w:tcW w:w="121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Kg</w:t>
            </w:r>
          </w:p>
        </w:tc>
        <w:tc>
          <w:tcPr>
            <w:tcW w:w="385"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1"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bl>
    <w:p>
      <w:pPr>
        <w:numPr>
          <w:ilvl w:val="-1"/>
          <w:numId w:val="0"/>
        </w:numPr>
        <w:spacing w:line="240" w:lineRule="auto"/>
        <w:ind w:firstLine="0" w:firstLineChars="0"/>
        <w:rPr>
          <w:rFonts w:hint="eastAsia" w:ascii="仿宋_GB2312" w:hAnsi="宋体" w:eastAsia="仿宋_GB2312" w:cs="Times New Roman"/>
          <w:sz w:val="32"/>
          <w:szCs w:val="32"/>
          <w:lang w:val="en-US" w:eastAsia="zh-CN"/>
        </w:rPr>
      </w:pP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bookmarkStart w:id="1" w:name="_Toc388864401"/>
      <w:r>
        <w:rPr>
          <w:rFonts w:hint="eastAsia" w:ascii="仿宋_GB2312" w:hAnsi="宋体" w:eastAsia="仿宋_GB2312" w:cs="Times New Roman"/>
          <w:sz w:val="32"/>
          <w:szCs w:val="32"/>
          <w:lang w:val="en-US" w:eastAsia="zh-CN"/>
        </w:rPr>
        <w:t>（四）</w:t>
      </w:r>
      <w:r>
        <w:rPr>
          <w:rFonts w:hint="eastAsia" w:ascii="仿宋_GB2312" w:hAnsi="宋体" w:eastAsia="仿宋_GB2312" w:cs="Times New Roman"/>
          <w:b w:val="0"/>
          <w:i w:val="0"/>
          <w:caps w:val="0"/>
          <w:spacing w:val="0"/>
          <w:w w:val="100"/>
          <w:sz w:val="32"/>
          <w:szCs w:val="32"/>
          <w:lang w:val="en-US" w:eastAsia="zh-CN"/>
        </w:rPr>
        <w:t>技术资料</w:t>
      </w:r>
      <w:bookmarkEnd w:id="1"/>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1、乙方提供的资料使用国家法定单位制，即国际单位制，语言为中文。资料的组织结构清晰，逻辑性强，资料内容要正确、准确、一般、清晰、完整、满足工程要求。</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2技术资料要求</w:t>
      </w:r>
    </w:p>
    <w:p>
      <w:pPr>
        <w:numPr>
          <w:ilvl w:val="-1"/>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投标方应提供设备说明书，包括额定电气参数、使用条件、结构尺寸等内容。以及运行、维护、修理说明书、部件清单、工厂试验报告、产品合格证书等。提供资料一式三份，所需资料和图纸随设备提供。</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7、其它要求：</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7.1 施工过程中，要服从甲方管理，按甲方现场提出的质量要求进行整改；</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7.2 供应商需提供高空、吊装等作业人员的资质证书，符合安全标准；</w:t>
      </w:r>
    </w:p>
    <w:p>
      <w:pPr>
        <w:pStyle w:val="14"/>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7.3 质保期：自验收合格之日起1年。</w:t>
      </w:r>
    </w:p>
    <w:p>
      <w:pPr>
        <w:pStyle w:val="14"/>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14"/>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设备到场后5日历天安装完毕。</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val="en-US" w:eastAsia="zh-CN"/>
        </w:rPr>
        <w:t>须具备安全生产许可证、建筑工程或机电安装资质。</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color w:val="FF0000"/>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color w:val="FF0000"/>
          <w:sz w:val="32"/>
          <w:szCs w:val="32"/>
          <w:lang w:val="en-US" w:eastAsia="zh-CN"/>
        </w:rPr>
        <w:t>有意投标单位可联系报名联系人获取图纸</w:t>
      </w:r>
      <w:r>
        <w:rPr>
          <w:rFonts w:hint="eastAsia" w:ascii="仿宋_GB2312" w:hAnsi="宋体" w:eastAsia="仿宋_GB2312" w:cs="Times New Roman"/>
          <w:color w:val="FF0000"/>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023年7月2日24时00分</w:t>
      </w:r>
      <w:r>
        <w:rPr>
          <w:rFonts w:hint="eastAsia" w:ascii="仿宋_GB2312" w:hAnsi="宋体" w:eastAsia="仿宋_GB2312" w:cs="Times New Roman"/>
          <w:sz w:val="32"/>
          <w:szCs w:val="32"/>
          <w:lang w:val="en-US" w:eastAsia="zh-CN"/>
        </w:rPr>
        <w:t>，供应商应在截止时间前通过以下2种方式上传电子投标文件邮寄至少3份纸质版投标资料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3"/>
          <w:rFonts w:hint="eastAsia" w:ascii="仿宋_GB2312" w:hAnsi="宋体" w:eastAsia="仿宋_GB2312" w:cs="Times New Roman"/>
          <w:color w:val="auto"/>
          <w:sz w:val="32"/>
          <w:szCs w:val="32"/>
          <w:lang w:val="en-US" w:eastAsia="zh-CN"/>
        </w:rPr>
        <w:t>报专用邮箱</w:t>
      </w:r>
      <w:r>
        <w:rPr>
          <w:rStyle w:val="13"/>
          <w:rFonts w:hint="eastAsia" w:ascii="仿宋" w:hAnsi="仿宋" w:eastAsia="仿宋"/>
          <w:color w:val="auto"/>
          <w:sz w:val="30"/>
          <w:szCs w:val="30"/>
          <w:lang w:eastAsia="zh-CN"/>
        </w:rPr>
        <w:t>dyzy009@163.com</w:t>
      </w:r>
      <w:r>
        <w:rPr>
          <w:rStyle w:val="13"/>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14"/>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3、邮寄地址及收件人：</w:t>
      </w:r>
    </w:p>
    <w:p>
      <w:pPr>
        <w:pStyle w:val="14"/>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14"/>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收件人：张毅，13705382602。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2023年7月3日下午14:00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东岳盐业</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地    址：</w:t>
      </w:r>
      <w:r>
        <w:rPr>
          <w:rFonts w:hint="eastAsia" w:ascii="仿宋_GB2312" w:eastAsia="仿宋_GB2312"/>
          <w:sz w:val="30"/>
          <w:szCs w:val="30"/>
        </w:rPr>
        <w:t>泰安市</w:t>
      </w:r>
      <w:r>
        <w:rPr>
          <w:rFonts w:hint="eastAsia" w:ascii="仿宋_GB2312" w:eastAsia="仿宋_GB2312"/>
          <w:sz w:val="30"/>
          <w:szCs w:val="30"/>
          <w:lang w:eastAsia="zh-CN"/>
        </w:rPr>
        <w:t>岱岳区马庄镇李家大坡村</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赵新</w:t>
      </w:r>
      <w:r>
        <w:rPr>
          <w:rFonts w:hint="eastAsia" w:ascii="仿宋_GB2312" w:eastAsia="仿宋_GB2312"/>
          <w:sz w:val="30"/>
          <w:szCs w:val="30"/>
          <w:lang w:val="en-US" w:eastAsia="zh-CN"/>
        </w:rPr>
        <w:t xml:space="preserve">    15621530171</w:t>
      </w:r>
    </w:p>
    <w:p>
      <w:pPr>
        <w:spacing w:line="360" w:lineRule="auto"/>
        <w:ind w:firstLine="2100" w:firstLineChars="700"/>
        <w:rPr>
          <w:rFonts w:hint="eastAsia" w:ascii="仿宋_GB2312" w:eastAsia="仿宋_GB2312"/>
          <w:sz w:val="30"/>
          <w:szCs w:val="30"/>
          <w:lang w:val="en-US" w:eastAsia="zh-CN"/>
        </w:rPr>
      </w:pPr>
      <w:r>
        <w:rPr>
          <w:rFonts w:hint="eastAsia" w:ascii="仿宋_GB2312" w:eastAsia="仿宋_GB2312"/>
          <w:sz w:val="30"/>
          <w:szCs w:val="30"/>
          <w:lang w:eastAsia="zh-CN"/>
        </w:rPr>
        <w:t>刘强</w:t>
      </w:r>
      <w:r>
        <w:rPr>
          <w:rFonts w:hint="eastAsia" w:ascii="仿宋_GB2312" w:eastAsia="仿宋_GB2312"/>
          <w:sz w:val="30"/>
          <w:szCs w:val="30"/>
          <w:lang w:val="en-US" w:eastAsia="zh-CN"/>
        </w:rPr>
        <w:t xml:space="preserve">    13625387829        </w:t>
      </w:r>
    </w:p>
    <w:p>
      <w:pPr>
        <w:spacing w:line="360"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张凯    13153882456</w:t>
      </w:r>
    </w:p>
    <w:p>
      <w:pPr>
        <w:spacing w:line="360" w:lineRule="auto"/>
        <w:ind w:firstLine="2100" w:firstLineChars="700"/>
        <w:rPr>
          <w:rFonts w:hint="eastAsia" w:ascii="仿宋_GB2312" w:eastAsia="仿宋_GB2312"/>
          <w:sz w:val="30"/>
          <w:szCs w:val="30"/>
          <w:lang w:val="en-US" w:eastAsia="zh-CN"/>
        </w:rPr>
      </w:pPr>
      <w:r>
        <w:rPr>
          <w:rFonts w:hint="eastAsia" w:ascii="仿宋_GB2312" w:eastAsia="仿宋_GB2312"/>
          <w:sz w:val="30"/>
          <w:szCs w:val="30"/>
          <w:lang w:val="en-US" w:eastAsia="zh-CN"/>
        </w:rPr>
        <w:t>张毅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监督部门：</w:t>
      </w:r>
      <w:r>
        <w:rPr>
          <w:rFonts w:hint="eastAsia" w:ascii="仿宋_GB2312" w:hAnsi="宋体" w:eastAsia="仿宋_GB2312" w:cs="Times New Roman"/>
          <w:sz w:val="32"/>
          <w:szCs w:val="32"/>
        </w:rPr>
        <w:t>纪检</w:t>
      </w:r>
      <w:r>
        <w:rPr>
          <w:rFonts w:hint="eastAsia" w:ascii="仿宋_GB2312" w:hAnsi="宋体" w:eastAsia="仿宋_GB2312" w:cs="Times New Roman"/>
          <w:sz w:val="32"/>
          <w:szCs w:val="32"/>
          <w:lang w:eastAsia="zh-CN"/>
        </w:rPr>
        <w:t>工作室</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联系人：</w:t>
      </w:r>
      <w:r>
        <w:rPr>
          <w:rFonts w:hint="eastAsia" w:ascii="仿宋_GB2312" w:hAnsi="宋体" w:eastAsia="仿宋_GB2312" w:cs="Times New Roman"/>
          <w:sz w:val="32"/>
          <w:szCs w:val="32"/>
          <w:lang w:eastAsia="zh-CN"/>
        </w:rPr>
        <w:t>张宗文</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东岳盐业</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2"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2"/>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3" w:name="_Toc27562"/>
      <w:bookmarkStart w:id="4" w:name="_Toc3112"/>
      <w:r>
        <w:rPr>
          <w:rFonts w:hint="eastAsia" w:ascii="仿宋_GB2312" w:hAnsi="黑体" w:eastAsia="仿宋_GB2312" w:cs="Times New Roman"/>
          <w:kern w:val="44"/>
          <w:sz w:val="32"/>
          <w:szCs w:val="44"/>
          <w:u w:val="none"/>
          <w:lang w:val="zh-CN" w:eastAsia="zh-CN"/>
        </w:rPr>
        <w:t>1.2.1资格证明文件</w:t>
      </w:r>
      <w:bookmarkEnd w:id="3"/>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 xml:space="preserve">（1）供应商需自行组织详细的施工方案，评标委员会将根据各自提供的施工方案进行评比打分并评选出最佳方案；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4"/>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023年7月2日24时00分。</w:t>
      </w:r>
    </w:p>
    <w:p>
      <w:pPr>
        <w:pStyle w:val="14"/>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供应商代表必须在投标截止时间前将投标文件上传</w:t>
      </w:r>
      <w:r>
        <w:rPr>
          <w:rFonts w:hint="eastAsia" w:ascii="仿宋_GB2312" w:hAnsi="黑体" w:eastAsia="仿宋_GB2312" w:cs="Times New Roman"/>
          <w:color w:val="FF0000"/>
          <w:kern w:val="44"/>
          <w:sz w:val="32"/>
          <w:szCs w:val="44"/>
          <w:u w:val="none"/>
          <w:lang w:eastAsia="zh-CN"/>
        </w:rPr>
        <w:t>并邮寄至少</w:t>
      </w:r>
      <w:r>
        <w:rPr>
          <w:rFonts w:hint="eastAsia" w:ascii="仿宋_GB2312" w:hAnsi="黑体" w:eastAsia="仿宋_GB2312" w:cs="Times New Roman"/>
          <w:color w:val="FF0000"/>
          <w:kern w:val="44"/>
          <w:sz w:val="32"/>
          <w:szCs w:val="44"/>
          <w:u w:val="none"/>
          <w:lang w:val="en-US" w:eastAsia="zh-CN"/>
        </w:rPr>
        <w:t>3份投标文件（加盖公章并密封）至采购人，邮寄地址：</w:t>
      </w:r>
      <w:r>
        <w:rPr>
          <w:rFonts w:hint="eastAsia" w:ascii="仿宋_GB2312" w:hAnsi="宋体" w:eastAsia="仿宋_GB2312" w:cs="Times New Roman"/>
          <w:color w:val="FF0000"/>
          <w:sz w:val="32"/>
          <w:szCs w:val="32"/>
          <w:u w:val="none"/>
          <w:lang w:val="en-US" w:eastAsia="zh-CN"/>
        </w:rPr>
        <w:t>山东省泰安市岱岳区大汶口石膏工业园区山东东岳盐业有限公司新厂，生产管理部；收件人：张毅，13705382602。</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1.4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5" w:name="_Toc144974554"/>
      <w:bookmarkStart w:id="6" w:name="_Toc152045587"/>
      <w:bookmarkStart w:id="7" w:name="_Toc152042364"/>
      <w:bookmarkStart w:id="8" w:name="_Toc179632605"/>
      <w:r>
        <w:rPr>
          <w:rFonts w:hint="eastAsia" w:ascii="方正小标宋简体" w:hAnsi="黑体" w:eastAsia="方正小标宋简体" w:cs="Times New Roman"/>
          <w:kern w:val="44"/>
          <w:sz w:val="44"/>
          <w:szCs w:val="44"/>
        </w:rPr>
        <w:t>第三章 评标办法</w:t>
      </w:r>
      <w:bookmarkEnd w:id="5"/>
      <w:bookmarkEnd w:id="6"/>
      <w:bookmarkEnd w:id="7"/>
      <w:bookmarkEnd w:id="8"/>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9"/>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9"/>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9"/>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bookmarkStart w:id="11" w:name="_GoBack"/>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bookmarkEnd w:id="11"/>
    </w:tbl>
    <w:p>
      <w:pPr>
        <w:pStyle w:val="2"/>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9"/>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w:t>
            </w:r>
            <w:r>
              <w:rPr>
                <w:rFonts w:hint="eastAsia" w:ascii="仿宋_GB2312" w:hAnsi="宋体" w:eastAsia="仿宋_GB2312"/>
                <w:sz w:val="24"/>
                <w:szCs w:val="24"/>
                <w:lang w:val="en-US"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9" w:name="_bookmark4"/>
      <w:bookmarkEnd w:id="9"/>
      <w:bookmarkStart w:id="10" w:name="第五部分___授予合同"/>
      <w:bookmarkEnd w:id="10"/>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ind w:firstLine="0" w:firstLineChars="0"/>
        <w:rPr>
          <w:rFonts w:hint="eastAsia" w:ascii="仿宋_GB2312" w:hAnsi="Times New Roman" w:eastAsia="仿宋_GB2312" w:cs="Times New Roman"/>
          <w:spacing w:val="-17"/>
          <w:sz w:val="32"/>
          <w:szCs w:val="32"/>
        </w:rPr>
      </w:pPr>
    </w:p>
    <w:p>
      <w:pPr>
        <w:pStyle w:val="14"/>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：报价单</w:t>
      </w:r>
    </w:p>
    <w:tbl>
      <w:tblPr>
        <w:tblStyle w:val="9"/>
        <w:tblpPr w:leftFromText="180" w:rightFromText="180" w:vertAnchor="text" w:horzAnchor="page" w:tblpX="1714" w:tblpY="200"/>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1201"/>
        <w:gridCol w:w="1096"/>
        <w:gridCol w:w="1073"/>
        <w:gridCol w:w="1096"/>
        <w:gridCol w:w="1618"/>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东岳盐业</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电气照明消防施工项目</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lang w:val="en-US" w:eastAsia="zh-CN"/>
              </w:rPr>
            </w:pPr>
            <w:r>
              <w:rPr>
                <w:rFonts w:hint="eastAsia" w:ascii="仿宋_GB2312" w:hAnsi="仿宋_GB2312" w:eastAsia="仿宋_GB2312" w:cs="仿宋_GB2312"/>
                <w:sz w:val="30"/>
                <w:szCs w:val="30"/>
                <w:lang w:val="en-US" w:eastAsia="zh-CN"/>
              </w:rPr>
              <w:t>电气照明消防施工项目</w:t>
            </w: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shd w:val="clear" w:color="auto" w:fill="auto"/>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341"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096"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单位</w:t>
            </w:r>
            <w:r>
              <w:rPr>
                <w:rFonts w:hint="eastAsia" w:ascii="仿宋_GB2312" w:hAnsi="仿宋_GB2312" w:eastAsia="仿宋_GB2312" w:cs="仿宋_GB2312"/>
                <w:i w:val="0"/>
                <w:iCs w:val="0"/>
                <w:color w:val="000000"/>
                <w:kern w:val="0"/>
                <w:sz w:val="24"/>
                <w:szCs w:val="24"/>
                <w:u w:val="none"/>
                <w:lang w:val="en-US" w:eastAsia="zh-CN" w:bidi="ar"/>
              </w:rPr>
              <w:t>）</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（单位）</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（万元）</w:t>
            </w:r>
          </w:p>
        </w:tc>
        <w:tc>
          <w:tcPr>
            <w:tcW w:w="1618"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2341" w:type="dxa"/>
            <w:gridSpan w:val="2"/>
            <w:tcBorders>
              <w:top w:val="single" w:color="000000" w:sz="4" w:space="0"/>
              <w:left w:val="single" w:color="000000" w:sz="4" w:space="0"/>
              <w:bottom w:val="nil"/>
              <w:right w:val="nil"/>
            </w:tcBorders>
            <w:shd w:val="clear" w:color="auto" w:fill="auto"/>
            <w:vAlign w:val="center"/>
          </w:tcPr>
          <w:p>
            <w:pPr>
              <w:pStyle w:val="3"/>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照明、接地、火灾报警施工项目</w:t>
            </w:r>
          </w:p>
        </w:tc>
        <w:tc>
          <w:tcPr>
            <w:tcW w:w="10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3"/>
              <w:jc w:val="center"/>
              <w:rPr>
                <w:rFonts w:hint="default" w:ascii="仿宋_GB2312" w:hAnsi="仿宋_GB2312" w:eastAsia="仿宋_GB2312" w:cs="仿宋_GB2312"/>
                <w:i w:val="0"/>
                <w:iCs w:val="0"/>
                <w:color w:val="000000"/>
                <w:kern w:val="0"/>
                <w:sz w:val="24"/>
                <w:szCs w:val="24"/>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8"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包括变频器室照明、应急照明、防雷接地、线路敷设和火灾报警等施工内容。投标方按照施工图纸完成设备制造、组装、现场安装、检测、调试、试运行等项施工内容</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2341" w:type="dxa"/>
            <w:gridSpan w:val="2"/>
            <w:tcBorders>
              <w:top w:val="single" w:color="000000" w:sz="4" w:space="0"/>
              <w:left w:val="single" w:color="000000" w:sz="4" w:space="0"/>
              <w:bottom w:val="single" w:color="auto" w:sz="4" w:space="0"/>
              <w:right w:val="nil"/>
            </w:tcBorders>
            <w:shd w:val="clear" w:color="auto" w:fill="auto"/>
            <w:vAlign w:val="center"/>
          </w:tcPr>
          <w:p>
            <w:pPr>
              <w:pStyle w:val="3"/>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Style w:val="3"/>
              <w:jc w:val="center"/>
              <w:rPr>
                <w:rFonts w:hint="default" w:ascii="仿宋_GB2312" w:hAnsi="仿宋_GB2312" w:eastAsia="仿宋_GB2312" w:cs="仿宋_GB2312"/>
                <w:i w:val="0"/>
                <w:iCs w:val="0"/>
                <w:color w:val="000000"/>
                <w:kern w:val="0"/>
                <w:sz w:val="24"/>
                <w:szCs w:val="24"/>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2341" w:type="dxa"/>
            <w:gridSpan w:val="2"/>
            <w:tcBorders>
              <w:top w:val="single" w:color="auto" w:sz="4" w:space="0"/>
              <w:left w:val="single" w:color="000000" w:sz="4" w:space="0"/>
              <w:bottom w:val="single" w:color="auto" w:sz="4" w:space="0"/>
              <w:right w:val="nil"/>
            </w:tcBorders>
            <w:shd w:val="clear" w:color="auto" w:fill="auto"/>
            <w:vAlign w:val="center"/>
          </w:tcPr>
          <w:p>
            <w:pPr>
              <w:pStyle w:val="3"/>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center"/>
          </w:tcPr>
          <w:p>
            <w:pPr>
              <w:pStyle w:val="3"/>
              <w:jc w:val="center"/>
              <w:rPr>
                <w:rFonts w:hint="default" w:ascii="仿宋_GB2312" w:hAnsi="仿宋_GB2312" w:eastAsia="仿宋_GB2312" w:cs="仿宋_GB2312"/>
                <w:i w:val="0"/>
                <w:iCs w:val="0"/>
                <w:color w:val="000000"/>
                <w:kern w:val="0"/>
                <w:sz w:val="24"/>
                <w:szCs w:val="24"/>
                <w:u w:val="none"/>
                <w:lang w:val="en-US" w:eastAsia="zh-CN" w:bidi="ar"/>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ind w:left="0" w:leftChars="0" w:firstLine="0" w:firstLineChars="0"/>
        <w:rPr>
          <w:rFonts w:hint="eastAsia" w:ascii="仿宋_GB2312" w:hAnsi="宋体" w:eastAsia="仿宋_GB2312" w:cs="Times New Roman"/>
          <w:kern w:val="2"/>
          <w:sz w:val="28"/>
          <w:szCs w:val="28"/>
          <w:lang w:val="en-US" w:eastAsia="zh-CN" w:bidi="ar-SA"/>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14"/>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4"/>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pStyle w:val="14"/>
        <w:ind w:left="0" w:leftChars="0" w:firstLine="6006" w:firstLineChars="2100"/>
        <w:rPr>
          <w:rFonts w:hint="eastAsia" w:ascii="仿宋_GB2312" w:hAnsi="Times New Roman" w:eastAsia="仿宋_GB2312" w:cs="Times New Roman"/>
          <w:spacing w:val="-17"/>
          <w:sz w:val="32"/>
          <w:szCs w:val="32"/>
          <w:lang w:val="en-US" w:eastAsia="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电气照明消防施工项目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电气照明消防施工项目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eastAsia"/>
          <w:lang w:eastAsia="zh-CN"/>
        </w:rPr>
      </w:pPr>
    </w:p>
    <w:p>
      <w:pPr>
        <w:pStyle w:val="2"/>
        <w:rPr>
          <w:rFonts w:hint="default" w:ascii="仿宋_GB2312" w:hAnsi="仿宋" w:eastAsia="仿宋_GB2312"/>
          <w:b w:val="0"/>
          <w:bCs w:val="0"/>
          <w:sz w:val="24"/>
          <w:szCs w:val="22"/>
          <w:lang w:val="zh-CN" w:eastAsia="zh-CN"/>
        </w:rPr>
      </w:pPr>
      <w:r>
        <w:rPr>
          <w:rFonts w:hint="default" w:ascii="仿宋_GB2312" w:hAnsi="仿宋" w:eastAsia="仿宋_GB2312"/>
          <w:b w:val="0"/>
          <w:bCs w:val="0"/>
          <w:sz w:val="24"/>
          <w:szCs w:val="22"/>
          <w:lang w:val="zh-CN" w:eastAsia="zh-CN"/>
        </w:rPr>
        <w:t>附图1：泵房电气照明图</w:t>
      </w:r>
    </w:p>
    <w:p>
      <w:pPr>
        <w:pStyle w:val="2"/>
        <w:rPr>
          <w:rFonts w:hint="default"/>
          <w:lang w:val="en-US" w:eastAsia="zh-CN"/>
        </w:rPr>
      </w:pPr>
      <w:r>
        <w:drawing>
          <wp:inline distT="0" distB="0" distL="114300" distR="114300">
            <wp:extent cx="5544820" cy="2944495"/>
            <wp:effectExtent l="0" t="0" r="177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44820" cy="2944495"/>
                    </a:xfrm>
                    <a:prstGeom prst="rect">
                      <a:avLst/>
                    </a:prstGeom>
                    <a:noFill/>
                    <a:ln>
                      <a:noFill/>
                    </a:ln>
                  </pic:spPr>
                </pic:pic>
              </a:graphicData>
            </a:graphic>
          </wp:inline>
        </w:drawing>
      </w:r>
    </w:p>
    <w:p>
      <w:pPr>
        <w:pStyle w:val="2"/>
        <w:autoSpaceDE w:val="0"/>
        <w:autoSpaceDN w:val="0"/>
        <w:spacing w:line="640" w:lineRule="exact"/>
        <w:rPr>
          <w:rFonts w:hint="default" w:ascii="仿宋_GB2312" w:hAnsi="仿宋" w:eastAsia="仿宋_GB2312"/>
          <w:b w:val="0"/>
          <w:bCs w:val="0"/>
          <w:sz w:val="24"/>
          <w:szCs w:val="22"/>
          <w:lang w:val="zh-CN" w:eastAsia="zh-CN"/>
        </w:rPr>
      </w:pPr>
      <w:r>
        <w:rPr>
          <w:rFonts w:hint="default" w:ascii="仿宋_GB2312" w:hAnsi="仿宋" w:eastAsia="仿宋_GB2312"/>
          <w:b w:val="0"/>
          <w:bCs w:val="0"/>
          <w:sz w:val="24"/>
          <w:szCs w:val="22"/>
          <w:lang w:val="zh-CN" w:eastAsia="zh-CN"/>
        </w:rPr>
        <w:t>附图2：泵房应急照明图</w:t>
      </w:r>
    </w:p>
    <w:p>
      <w:pPr>
        <w:pStyle w:val="2"/>
      </w:pPr>
      <w:r>
        <w:drawing>
          <wp:inline distT="0" distB="0" distL="114300" distR="114300">
            <wp:extent cx="5537200" cy="3118485"/>
            <wp:effectExtent l="0" t="0" r="635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537200" cy="3118485"/>
                    </a:xfrm>
                    <a:prstGeom prst="rect">
                      <a:avLst/>
                    </a:prstGeom>
                    <a:noFill/>
                    <a:ln>
                      <a:noFill/>
                    </a:ln>
                  </pic:spPr>
                </pic:pic>
              </a:graphicData>
            </a:graphic>
          </wp:inline>
        </w:drawing>
      </w:r>
    </w:p>
    <w:p/>
    <w:p>
      <w:pPr>
        <w:pStyle w:val="2"/>
      </w:pPr>
    </w:p>
    <w:p>
      <w:pPr>
        <w:pStyle w:val="2"/>
        <w:rPr>
          <w:rFonts w:hint="default" w:ascii="仿宋_GB2312" w:hAnsi="仿宋" w:eastAsia="仿宋_GB2312"/>
          <w:b w:val="0"/>
          <w:bCs w:val="0"/>
          <w:sz w:val="24"/>
          <w:szCs w:val="22"/>
          <w:lang w:val="zh-CN" w:eastAsia="zh-CN"/>
        </w:rPr>
      </w:pPr>
      <w:r>
        <w:rPr>
          <w:rFonts w:hint="default" w:ascii="仿宋_GB2312" w:hAnsi="仿宋" w:eastAsia="仿宋_GB2312"/>
          <w:b w:val="0"/>
          <w:bCs w:val="0"/>
          <w:sz w:val="24"/>
          <w:szCs w:val="22"/>
          <w:lang w:val="zh-CN" w:eastAsia="zh-CN"/>
        </w:rPr>
        <w:t>附图3：泵房防雷接地布置图</w:t>
      </w:r>
    </w:p>
    <w:p>
      <w:pPr>
        <w:pStyle w:val="2"/>
      </w:pPr>
      <w:r>
        <w:drawing>
          <wp:inline distT="0" distB="0" distL="114300" distR="114300">
            <wp:extent cx="5544185" cy="3072765"/>
            <wp:effectExtent l="0" t="0" r="1841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544185" cy="3072765"/>
                    </a:xfrm>
                    <a:prstGeom prst="rect">
                      <a:avLst/>
                    </a:prstGeom>
                    <a:noFill/>
                    <a:ln>
                      <a:noFill/>
                    </a:ln>
                  </pic:spPr>
                </pic:pic>
              </a:graphicData>
            </a:graphic>
          </wp:inline>
        </w:drawing>
      </w:r>
    </w:p>
    <w:p>
      <w:pPr>
        <w:pStyle w:val="2"/>
        <w:rPr>
          <w:rFonts w:hint="eastAsia"/>
          <w:lang w:val="en-US" w:eastAsia="zh-CN"/>
        </w:rPr>
      </w:pPr>
      <w:r>
        <w:rPr>
          <w:rFonts w:hint="default" w:ascii="仿宋_GB2312" w:hAnsi="仿宋" w:eastAsia="仿宋_GB2312"/>
          <w:b w:val="0"/>
          <w:bCs w:val="0"/>
          <w:sz w:val="24"/>
          <w:szCs w:val="22"/>
          <w:lang w:val="zh-CN" w:eastAsia="zh-CN"/>
        </w:rPr>
        <w:t>附图4：</w:t>
      </w:r>
      <w:r>
        <w:rPr>
          <w:rFonts w:hint="default" w:ascii="仿宋_GB2312" w:hAnsi="仿宋" w:eastAsia="仿宋_GB2312"/>
          <w:b w:val="0"/>
          <w:bCs w:val="0"/>
          <w:sz w:val="24"/>
          <w:szCs w:val="22"/>
          <w:lang w:val="zh-CN"/>
        </w:rPr>
        <w:t>泵房通风空调电气管线平面布置图</w:t>
      </w:r>
    </w:p>
    <w:p>
      <w:pPr>
        <w:pStyle w:val="2"/>
      </w:pPr>
      <w:r>
        <w:drawing>
          <wp:inline distT="0" distB="0" distL="114300" distR="114300">
            <wp:extent cx="5539740" cy="3116580"/>
            <wp:effectExtent l="0" t="0" r="381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539740" cy="3116580"/>
                    </a:xfrm>
                    <a:prstGeom prst="rect">
                      <a:avLst/>
                    </a:prstGeom>
                    <a:noFill/>
                    <a:ln>
                      <a:noFill/>
                    </a:ln>
                  </pic:spPr>
                </pic:pic>
              </a:graphicData>
            </a:graphic>
          </wp:inline>
        </w:drawing>
      </w:r>
    </w:p>
    <w:p>
      <w:pPr>
        <w:rPr>
          <w:rFonts w:hint="default"/>
          <w:lang w:val="en-US" w:eastAsia="zh-CN"/>
        </w:rPr>
      </w:pPr>
    </w:p>
    <w:p>
      <w:pPr>
        <w:rPr>
          <w:rFonts w:hint="eastAsia"/>
          <w:lang w:val="en-US" w:eastAsia="zh-CN"/>
        </w:rPr>
      </w:pPr>
      <w:r>
        <w:rPr>
          <w:rFonts w:hint="eastAsia"/>
          <w:lang w:val="en-US" w:eastAsia="zh-CN"/>
        </w:rPr>
        <w:t>附图5：设备表</w:t>
      </w:r>
    </w:p>
    <w:p>
      <w:r>
        <w:drawing>
          <wp:inline distT="0" distB="0" distL="114300" distR="114300">
            <wp:extent cx="5448300" cy="4218940"/>
            <wp:effectExtent l="0" t="0" r="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448300" cy="4218940"/>
                    </a:xfrm>
                    <a:prstGeom prst="rect">
                      <a:avLst/>
                    </a:prstGeom>
                    <a:noFill/>
                    <a:ln>
                      <a:noFill/>
                    </a:ln>
                  </pic:spPr>
                </pic:pic>
              </a:graphicData>
            </a:graphic>
          </wp:inline>
        </w:drawing>
      </w:r>
    </w:p>
    <w:p/>
    <w:p>
      <w:pPr>
        <w:rPr>
          <w:rFonts w:hint="eastAsia"/>
          <w:lang w:val="en-US" w:eastAsia="zh-CN"/>
        </w:rPr>
      </w:pPr>
      <w:r>
        <w:rPr>
          <w:rFonts w:hint="eastAsia"/>
          <w:lang w:eastAsia="zh-CN"/>
        </w:rPr>
        <w:t>附图</w:t>
      </w:r>
      <w:r>
        <w:rPr>
          <w:rFonts w:hint="eastAsia"/>
          <w:lang w:val="en-US" w:eastAsia="zh-CN"/>
        </w:rPr>
        <w:t>6：材料表</w:t>
      </w:r>
    </w:p>
    <w:p>
      <w:pPr>
        <w:pStyle w:val="2"/>
        <w:rPr>
          <w:rFonts w:hint="eastAsia"/>
          <w:lang w:val="en-US" w:eastAsia="zh-CN"/>
        </w:rPr>
      </w:pPr>
      <w:r>
        <w:drawing>
          <wp:inline distT="0" distB="0" distL="114300" distR="114300">
            <wp:extent cx="5539105" cy="2390775"/>
            <wp:effectExtent l="0" t="0" r="444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539105" cy="2390775"/>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p>
    <w:p>
      <w:pPr>
        <w:autoSpaceDE w:val="0"/>
        <w:autoSpaceDN w:val="0"/>
        <w:spacing w:line="640" w:lineRule="exact"/>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7"/>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A61ED"/>
    <w:multiLevelType w:val="singleLevel"/>
    <w:tmpl w:val="025A61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3100052"/>
    <w:rsid w:val="03871E2A"/>
    <w:rsid w:val="03D1726D"/>
    <w:rsid w:val="04AD442C"/>
    <w:rsid w:val="057D4BE3"/>
    <w:rsid w:val="069755E0"/>
    <w:rsid w:val="091D1F66"/>
    <w:rsid w:val="0A4253D3"/>
    <w:rsid w:val="0A6D68B1"/>
    <w:rsid w:val="0AB02221"/>
    <w:rsid w:val="0BCA048F"/>
    <w:rsid w:val="0CAD2D51"/>
    <w:rsid w:val="0CB74F37"/>
    <w:rsid w:val="0DB80BBA"/>
    <w:rsid w:val="0E44245A"/>
    <w:rsid w:val="0F175A76"/>
    <w:rsid w:val="0F955839"/>
    <w:rsid w:val="0FBC7598"/>
    <w:rsid w:val="100B0CBA"/>
    <w:rsid w:val="106047C8"/>
    <w:rsid w:val="1185799F"/>
    <w:rsid w:val="138B0CB1"/>
    <w:rsid w:val="154342FD"/>
    <w:rsid w:val="159D452E"/>
    <w:rsid w:val="167C7F82"/>
    <w:rsid w:val="16E8555F"/>
    <w:rsid w:val="19133878"/>
    <w:rsid w:val="1B861BBC"/>
    <w:rsid w:val="1C6E4FB6"/>
    <w:rsid w:val="1E623FD6"/>
    <w:rsid w:val="1E6325EF"/>
    <w:rsid w:val="1E7C727F"/>
    <w:rsid w:val="1F777037"/>
    <w:rsid w:val="20270FCD"/>
    <w:rsid w:val="2042750B"/>
    <w:rsid w:val="21EA18AD"/>
    <w:rsid w:val="240913B2"/>
    <w:rsid w:val="240E3DAA"/>
    <w:rsid w:val="24860255"/>
    <w:rsid w:val="24990161"/>
    <w:rsid w:val="258779D8"/>
    <w:rsid w:val="268B0983"/>
    <w:rsid w:val="28D27B04"/>
    <w:rsid w:val="29C4587E"/>
    <w:rsid w:val="2A9D68A5"/>
    <w:rsid w:val="2AAF4C72"/>
    <w:rsid w:val="2B9C4B6B"/>
    <w:rsid w:val="2C9B7B11"/>
    <w:rsid w:val="2CC048AF"/>
    <w:rsid w:val="2CC7158E"/>
    <w:rsid w:val="2D651BA1"/>
    <w:rsid w:val="2E6C33BC"/>
    <w:rsid w:val="2EC871E4"/>
    <w:rsid w:val="2EFB4B5A"/>
    <w:rsid w:val="2F8D6E1D"/>
    <w:rsid w:val="2FE92250"/>
    <w:rsid w:val="2FEC2F3D"/>
    <w:rsid w:val="30562FA1"/>
    <w:rsid w:val="31413B7F"/>
    <w:rsid w:val="33317CB2"/>
    <w:rsid w:val="342F6E45"/>
    <w:rsid w:val="355410AE"/>
    <w:rsid w:val="370C5E5F"/>
    <w:rsid w:val="37240058"/>
    <w:rsid w:val="38781421"/>
    <w:rsid w:val="39107974"/>
    <w:rsid w:val="39363CB0"/>
    <w:rsid w:val="3B7A35D8"/>
    <w:rsid w:val="3D12064C"/>
    <w:rsid w:val="3D2C40A3"/>
    <w:rsid w:val="3E3C1261"/>
    <w:rsid w:val="409E00B6"/>
    <w:rsid w:val="40CB253D"/>
    <w:rsid w:val="41773A03"/>
    <w:rsid w:val="43AE5495"/>
    <w:rsid w:val="44656DC0"/>
    <w:rsid w:val="446C3951"/>
    <w:rsid w:val="44CD0324"/>
    <w:rsid w:val="474362F1"/>
    <w:rsid w:val="496B2BA7"/>
    <w:rsid w:val="4AE0443D"/>
    <w:rsid w:val="4BF778DB"/>
    <w:rsid w:val="4C6B08E0"/>
    <w:rsid w:val="4C8449BE"/>
    <w:rsid w:val="4C871B0C"/>
    <w:rsid w:val="4E9155CB"/>
    <w:rsid w:val="4FF202B4"/>
    <w:rsid w:val="50FC6B65"/>
    <w:rsid w:val="515F72D3"/>
    <w:rsid w:val="51A1586A"/>
    <w:rsid w:val="51DE5EF9"/>
    <w:rsid w:val="527A416D"/>
    <w:rsid w:val="53061A33"/>
    <w:rsid w:val="531813D7"/>
    <w:rsid w:val="53761176"/>
    <w:rsid w:val="55810790"/>
    <w:rsid w:val="57442FB3"/>
    <w:rsid w:val="57460AC2"/>
    <w:rsid w:val="58153141"/>
    <w:rsid w:val="58B07579"/>
    <w:rsid w:val="5915699E"/>
    <w:rsid w:val="59751278"/>
    <w:rsid w:val="5A936001"/>
    <w:rsid w:val="5C106463"/>
    <w:rsid w:val="5C4A15A7"/>
    <w:rsid w:val="5D317D47"/>
    <w:rsid w:val="5FA1715B"/>
    <w:rsid w:val="61952E57"/>
    <w:rsid w:val="62710306"/>
    <w:rsid w:val="628338D5"/>
    <w:rsid w:val="63350368"/>
    <w:rsid w:val="640A6D48"/>
    <w:rsid w:val="64176ECE"/>
    <w:rsid w:val="6455698F"/>
    <w:rsid w:val="674D777B"/>
    <w:rsid w:val="67CD49CC"/>
    <w:rsid w:val="680A5162"/>
    <w:rsid w:val="69BE2A10"/>
    <w:rsid w:val="6A585F3B"/>
    <w:rsid w:val="6AA81420"/>
    <w:rsid w:val="6BAD1CAE"/>
    <w:rsid w:val="6BD2609F"/>
    <w:rsid w:val="6C204A8C"/>
    <w:rsid w:val="6C6C6CE1"/>
    <w:rsid w:val="6EA46444"/>
    <w:rsid w:val="6ECE7F2B"/>
    <w:rsid w:val="71C477E1"/>
    <w:rsid w:val="71D67CD0"/>
    <w:rsid w:val="71FA7E53"/>
    <w:rsid w:val="724F22C8"/>
    <w:rsid w:val="73D62658"/>
    <w:rsid w:val="761204D3"/>
    <w:rsid w:val="761B566E"/>
    <w:rsid w:val="768B5CF7"/>
    <w:rsid w:val="76F31295"/>
    <w:rsid w:val="77FB488F"/>
    <w:rsid w:val="79AE5FDF"/>
    <w:rsid w:val="7A6335B5"/>
    <w:rsid w:val="7B1716A5"/>
    <w:rsid w:val="7B713E76"/>
    <w:rsid w:val="7C3E5C19"/>
    <w:rsid w:val="7D0823E1"/>
    <w:rsid w:val="7D37140C"/>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sz w:val="24"/>
      <w:szCs w:val="24"/>
    </w:rPr>
  </w:style>
  <w:style w:type="paragraph" w:customStyle="1" w:styleId="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页眉 Char"/>
    <w:basedOn w:val="11"/>
    <w:link w:val="8"/>
    <w:qFormat/>
    <w:uiPriority w:val="99"/>
    <w:rPr>
      <w:sz w:val="18"/>
      <w:szCs w:val="18"/>
    </w:rPr>
  </w:style>
  <w:style w:type="character" w:customStyle="1" w:styleId="17">
    <w:name w:val="日期 Char"/>
    <w:basedOn w:val="11"/>
    <w:link w:val="5"/>
    <w:semiHidden/>
    <w:qFormat/>
    <w:uiPriority w:val="99"/>
  </w:style>
  <w:style w:type="character" w:customStyle="1" w:styleId="18">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11209</Words>
  <Characters>12512</Characters>
  <Lines>48</Lines>
  <Paragraphs>13</Paragraphs>
  <TotalTime>15</TotalTime>
  <ScaleCrop>false</ScaleCrop>
  <LinksUpToDate>false</LinksUpToDate>
  <CharactersWithSpaces>13035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2023-06-30T02:20:35Z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0BACD36FB1754ED0BD69CFDE64AC444F</vt:lpwstr>
  </property>
</Properties>
</file>