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9" w:name="_GoBack"/>
      <w:bookmarkEnd w:id="9"/>
      <w:r>
        <w:rPr>
          <w:rFonts w:hint="eastAsia" w:ascii="方正小标宋简体" w:hAnsi="Times New Roman" w:eastAsia="方正小标宋简体" w:cs="Times New Roman"/>
          <w:sz w:val="44"/>
          <w:szCs w:val="44"/>
        </w:rPr>
        <w:t xml:space="preserve">  </w:t>
      </w:r>
    </w:p>
    <w:p>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山东东岳盐业有限公司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岔河店盐卤厂至王家大坡阀门组输卤管道建设项目钢管段敷设安装施工标段</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021</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山东东岳盐业有限公司</w:t>
      </w:r>
    </w:p>
    <w:p>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6</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13日</w:t>
      </w:r>
    </w:p>
    <w:p>
      <w:pPr>
        <w:rPr>
          <w:rFonts w:hint="eastAsia"/>
        </w:rPr>
      </w:pPr>
    </w:p>
    <w:p>
      <w:pPr>
        <w:jc w:val="center"/>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岔河店盐卤厂至王家大坡阀门组输卤管道建设项目钢管段敷设安装施工标段</w:t>
      </w:r>
      <w:r>
        <w:rPr>
          <w:rFonts w:hint="eastAsia" w:ascii="仿宋_GB2312" w:hAnsi="宋体" w:eastAsia="仿宋_GB2312" w:cs="Times New Roman"/>
          <w:sz w:val="32"/>
          <w:szCs w:val="32"/>
        </w:rPr>
        <w:t>，招标单位为</w:t>
      </w:r>
      <w:r>
        <w:rPr>
          <w:rFonts w:hint="eastAsia" w:ascii="仿宋_GB2312" w:hAnsi="宋体" w:eastAsia="仿宋_GB2312" w:cs="Times New Roman"/>
          <w:sz w:val="32"/>
          <w:szCs w:val="32"/>
          <w:lang w:eastAsia="zh-CN"/>
        </w:rPr>
        <w:t>山东东岳盐业有限公司</w:t>
      </w:r>
      <w:r>
        <w:rPr>
          <w:rFonts w:hint="eastAsia" w:ascii="仿宋_GB2312" w:hAnsi="宋体" w:eastAsia="仿宋_GB2312" w:cs="Times New Roman"/>
          <w:sz w:val="32"/>
          <w:szCs w:val="32"/>
        </w:rPr>
        <w:t>，该项目已具备条件，现对该项目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项目名称：山东东岳盐业有限公司岔河店盐卤厂至王家大坡阀门组输卤管道建设项目钢管段敷设安装施工标段</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2、项目地点：山东东岳盐业有限公司指定位置。</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3.1 </w:t>
      </w:r>
      <w:r>
        <w:rPr>
          <w:rFonts w:hint="eastAsia" w:ascii="仿宋_GB2312" w:hAnsi="宋体" w:eastAsia="仿宋_GB2312" w:cs="Times New Roman"/>
          <w:sz w:val="32"/>
          <w:szCs w:val="32"/>
          <w:lang w:eastAsia="zh-CN"/>
        </w:rPr>
        <w:t>王家大坡阀门组院内</w:t>
      </w:r>
      <w:r>
        <w:rPr>
          <w:rFonts w:hint="eastAsia" w:ascii="仿宋_GB2312" w:hAnsi="宋体" w:eastAsia="仿宋_GB2312" w:cs="Times New Roman"/>
          <w:sz w:val="32"/>
          <w:szCs w:val="32"/>
          <w:lang w:val="en-US" w:eastAsia="zh-CN"/>
        </w:rPr>
        <w:t>DN250无缝钢管的敷设、焊接及安装，包含弯头、法兰、闸阀、截止阀、流量计的焊接安装、管道固定支墩支架的建设、管沟的开挖回填等工作，为交钥匙工程；</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3.2 王家大坡</w:t>
      </w:r>
      <w:r>
        <w:rPr>
          <w:rFonts w:hint="eastAsia" w:ascii="仿宋_GB2312" w:hAnsi="宋体" w:eastAsia="仿宋_GB2312" w:cs="Times New Roman"/>
          <w:sz w:val="32"/>
          <w:szCs w:val="32"/>
          <w:lang w:val="en-US" w:eastAsia="zh-CN"/>
        </w:rPr>
        <w:t>阀门组院内需敷设安装的DN250无缝钢管共计约22m，</w:t>
      </w:r>
      <w:r>
        <w:rPr>
          <w:rFonts w:hint="eastAsia" w:ascii="仿宋_GB2312" w:hAnsi="宋体" w:eastAsia="仿宋_GB2312" w:cs="Times New Roman"/>
          <w:sz w:val="32"/>
          <w:szCs w:val="32"/>
          <w:u w:val="none"/>
          <w:lang w:val="en-US" w:eastAsia="zh-CN"/>
        </w:rPr>
        <w:t>其中有12m为低架敷设，10m为地埋敷设，地埋方式为浅埋，低架敷设段需按管道流向方向按序加装1个DN250、PN16不锈钢闸阀、1个DN250、PN16不锈钢止回阀及1台DN250、PN16流量计，相互距离符合规定和标准。一端与钢骨架PE复合管管道采用法兰连接，另一端与阀门组现有输卤管道焊接，其中包含弯头、法兰的焊接及连接；</w:t>
      </w:r>
    </w:p>
    <w:p>
      <w:p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u w:val="none"/>
          <w:lang w:val="en-US" w:eastAsia="zh-CN"/>
        </w:rPr>
        <w:t>3.3 王家大坡</w:t>
      </w:r>
      <w:r>
        <w:rPr>
          <w:rFonts w:hint="eastAsia" w:ascii="仿宋_GB2312" w:hAnsi="宋体" w:eastAsia="仿宋_GB2312" w:cs="Times New Roman"/>
          <w:sz w:val="32"/>
          <w:szCs w:val="32"/>
          <w:lang w:val="en-US" w:eastAsia="zh-CN"/>
        </w:rPr>
        <w:t>阀门组院内低架敷设管道段</w:t>
      </w:r>
      <w:r>
        <w:rPr>
          <w:rFonts w:hint="eastAsia" w:ascii="仿宋_GB2312" w:hAnsi="宋体" w:eastAsia="仿宋_GB2312" w:cs="Times New Roman"/>
          <w:sz w:val="32"/>
          <w:szCs w:val="32"/>
          <w:u w:val="none"/>
          <w:lang w:val="en-US" w:eastAsia="zh-CN"/>
        </w:rPr>
        <w:t>需建设</w:t>
      </w:r>
      <w:r>
        <w:rPr>
          <w:rFonts w:hint="eastAsia" w:ascii="仿宋_GB2312" w:hAnsi="宋体" w:eastAsia="仿宋_GB2312" w:cs="Times New Roman"/>
          <w:color w:val="FF0000"/>
          <w:sz w:val="32"/>
          <w:szCs w:val="32"/>
          <w:u w:val="none"/>
          <w:lang w:val="en-US" w:eastAsia="zh-CN"/>
        </w:rPr>
        <w:t>4</w:t>
      </w:r>
      <w:r>
        <w:rPr>
          <w:rFonts w:hint="eastAsia" w:ascii="仿宋_GB2312" w:hAnsi="宋体" w:eastAsia="仿宋_GB2312" w:cs="Times New Roman"/>
          <w:sz w:val="32"/>
          <w:szCs w:val="32"/>
          <w:u w:val="none"/>
          <w:lang w:val="en-US" w:eastAsia="zh-CN"/>
        </w:rPr>
        <w:t>个混凝土固定支墩支架以支撑管道及闸阀、止回阀、流量计等附属设备，支墩采用C25混凝土浇筑，总高为400mm，支墩高出地表面200mm，地表面以下为200mm，总长250mm，宽640mm，支墩内部预埋2根M20*270mm地脚螺栓，地脚螺栓高出混凝土支墩长度为70mm，采用扁钢管卡固定管道，2侧与地脚螺栓连接，支墩及支架具体建设方式详见附图；</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 施工所需的无缝钢管、闸阀、止回阀、流量计、法兰、弯头等主材由采购人负责，供应商负责除主材以外的其它所有材料及人工、机械等其它辅助施工设备；</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4、施工费用包含除主材以外的所有材料，管道、弯头的焊接安装，不锈钢闸阀、不锈钢止回阀及流量计的安装连接，</w:t>
      </w:r>
      <w:r>
        <w:rPr>
          <w:rFonts w:hint="eastAsia" w:ascii="仿宋_GB2312" w:hAnsi="宋体" w:eastAsia="仿宋_GB2312" w:cs="Times New Roman"/>
          <w:sz w:val="32"/>
          <w:szCs w:val="32"/>
          <w:lang w:val="en-US" w:eastAsia="zh-CN"/>
        </w:rPr>
        <w:t>管道固定支墩支架的建设，</w:t>
      </w:r>
      <w:r>
        <w:rPr>
          <w:rFonts w:hint="eastAsia" w:ascii="仿宋_GB2312" w:hAnsi="宋体" w:eastAsia="仿宋_GB2312" w:cs="Times New Roman"/>
          <w:sz w:val="32"/>
          <w:szCs w:val="32"/>
          <w:u w:val="none"/>
          <w:lang w:val="en-US" w:eastAsia="zh-CN"/>
        </w:rPr>
        <w:t>人工、运输、机械、安全施工、保养、保险、税费、验收、检测等一切费用，施工费用一次性包死；</w:t>
      </w:r>
    </w:p>
    <w:p>
      <w:pPr>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5、付款方式：</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lang w:val="en-US" w:eastAsia="zh-CN" w:bidi="ar-SA"/>
        </w:rPr>
        <w:t>本工程无预付款,施工完成并经验收合格后，付至结算金额的85%,同时开具全额增值税专用发票。正常运行（使用）6个月后付至结算金额的97%，余款3%作为质保金,期满后无质量问题30个工作日内一次无息付清，付款方式为现汇或电子承兑支付；</w:t>
      </w:r>
    </w:p>
    <w:p>
      <w:pPr>
        <w:numPr>
          <w:ilvl w:val="0"/>
          <w:numId w:val="0"/>
        </w:numPr>
        <w:spacing w:line="240" w:lineRule="auto"/>
        <w:ind w:firstLine="640" w:firstLineChars="200"/>
        <w:rPr>
          <w:rFonts w:hint="eastAsia" w:ascii="仿宋_GB2312" w:hAnsi="宋体" w:eastAsia="仿宋_GB2312" w:cs="Times New Roman"/>
          <w:b w:val="0"/>
          <w:bCs w:val="0"/>
          <w:sz w:val="32"/>
          <w:szCs w:val="32"/>
          <w:lang w:val="en-US" w:eastAsia="zh-CN"/>
        </w:rPr>
      </w:pPr>
      <w:r>
        <w:rPr>
          <w:rFonts w:hint="eastAsia" w:ascii="仿宋_GB2312" w:hAnsi="宋体" w:eastAsia="仿宋_GB2312" w:cs="Times New Roman"/>
          <w:kern w:val="2"/>
          <w:sz w:val="32"/>
          <w:szCs w:val="32"/>
          <w:lang w:val="en-US" w:eastAsia="zh-CN" w:bidi="ar-SA"/>
        </w:rPr>
        <w:t>6、</w:t>
      </w:r>
      <w:r>
        <w:rPr>
          <w:rFonts w:hint="eastAsia" w:ascii="仿宋_GB2312" w:hAnsi="宋体" w:eastAsia="仿宋_GB2312" w:cs="Times New Roman"/>
          <w:b w:val="0"/>
          <w:bCs w:val="0"/>
          <w:sz w:val="32"/>
          <w:szCs w:val="32"/>
          <w:lang w:val="en-US" w:eastAsia="zh-CN"/>
        </w:rPr>
        <w:t>施工技术要求：</w:t>
      </w:r>
    </w:p>
    <w:p>
      <w:pPr>
        <w:numPr>
          <w:ilvl w:val="0"/>
          <w:numId w:val="0"/>
        </w:num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6.1 连接形式、焊接方法:焊接，详细要求按《GB50184-2011_工业金属管道工程施工质量验收规范》相关内容执行；</w:t>
      </w:r>
    </w:p>
    <w:p>
      <w:pPr>
        <w:numPr>
          <w:ilvl w:val="0"/>
          <w:numId w:val="0"/>
        </w:num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6.2 压力试验、吹扫与清洗设计要求:所有管道安装后均需根据管道安装规范进行试压；</w:t>
      </w:r>
    </w:p>
    <w:p>
      <w:pPr>
        <w:numPr>
          <w:ilvl w:val="0"/>
          <w:numId w:val="0"/>
        </w:num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6.3 管道的施工、试压验收分别参照以下规范：</w:t>
      </w:r>
    </w:p>
    <w:p>
      <w:pPr>
        <w:numPr>
          <w:ilvl w:val="0"/>
          <w:numId w:val="0"/>
        </w:num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GB50316-2000 《工业金属管道设计规范》；</w:t>
      </w:r>
    </w:p>
    <w:p>
      <w:pPr>
        <w:numPr>
          <w:ilvl w:val="0"/>
          <w:numId w:val="0"/>
        </w:numPr>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GB50184-2011 《工业金属管道工程施工质量验收规范》;</w:t>
      </w:r>
    </w:p>
    <w:p>
      <w:pPr>
        <w:numPr>
          <w:ilvl w:val="0"/>
          <w:numId w:val="0"/>
        </w:numPr>
        <w:spacing w:line="240" w:lineRule="auto"/>
        <w:ind w:firstLine="640" w:firstLineChars="200"/>
        <w:rPr>
          <w:rFonts w:hint="default" w:ascii="仿宋_GB2312" w:eastAsia="仿宋_GB2312"/>
          <w:sz w:val="30"/>
          <w:szCs w:val="30"/>
          <w:lang w:val="en-US" w:eastAsia="zh-CN"/>
        </w:rPr>
      </w:pPr>
      <w:r>
        <w:rPr>
          <w:rFonts w:hint="eastAsia" w:ascii="仿宋_GB2312" w:hAnsi="宋体" w:eastAsia="仿宋_GB2312" w:cs="Times New Roman"/>
          <w:sz w:val="32"/>
          <w:szCs w:val="32"/>
          <w:lang w:val="en-US" w:eastAsia="zh-CN"/>
        </w:rPr>
        <w:t>SY0061-2004  《埋地钢质管道外壁有机防腐层技术规范》。</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u w:val="none"/>
          <w:lang w:val="en-US" w:eastAsia="zh-CN" w:bidi="ar-SA"/>
        </w:rPr>
        <w:t>7、其它要求：</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7.1 建议供应商提前踏勘现场后再进行报价；</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7.2 施工过程中，要服从甲方管理，按甲方现场提出的质量要求进行整改；</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7.3 开工前需提供详细的施工方案及安全施工方案，详列施工防护措施、安全施工措施等，施工措施必须符合安全要求；</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7.4 质保期：自验收合格之日起1年。</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8、工期：</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材料到场且具备施工条件后5日历天施工完毕。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023年6月15日24时00分</w:t>
      </w:r>
      <w:r>
        <w:rPr>
          <w:rFonts w:hint="eastAsia" w:ascii="仿宋_GB2312" w:hAnsi="宋体" w:eastAsia="仿宋_GB2312" w:cs="Times New Roman"/>
          <w:sz w:val="32"/>
          <w:szCs w:val="32"/>
          <w:lang w:val="en-US" w:eastAsia="zh-CN"/>
        </w:rPr>
        <w:t>，供应商应在截止时间前通过以下2种方式上传电子投标文件：</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1"/>
          <w:rFonts w:hint="eastAsia" w:ascii="仿宋_GB2312" w:hAnsi="宋体" w:eastAsia="仿宋_GB2312" w:cs="Times New Roman"/>
          <w:color w:val="auto"/>
          <w:sz w:val="32"/>
          <w:szCs w:val="32"/>
          <w:lang w:val="en-US" w:eastAsia="zh-CN"/>
        </w:rPr>
        <w:t>报专用邮箱</w:t>
      </w:r>
      <w:r>
        <w:rPr>
          <w:rStyle w:val="11"/>
          <w:rFonts w:hint="eastAsia" w:ascii="仿宋" w:hAnsi="仿宋" w:eastAsia="仿宋"/>
          <w:color w:val="auto"/>
          <w:sz w:val="30"/>
          <w:szCs w:val="30"/>
          <w:lang w:eastAsia="zh-CN"/>
        </w:rPr>
        <w:t>dyzy009@163.com</w:t>
      </w:r>
      <w:r>
        <w:rPr>
          <w:rStyle w:val="11"/>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2023年6月16日上午8:00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招标单位：</w:t>
      </w:r>
      <w:r>
        <w:rPr>
          <w:rFonts w:hint="eastAsia" w:ascii="仿宋_GB2312" w:hAnsi="宋体" w:eastAsia="仿宋_GB2312" w:cs="Times New Roman"/>
          <w:sz w:val="32"/>
          <w:szCs w:val="32"/>
          <w:lang w:eastAsia="zh-CN"/>
        </w:rPr>
        <w:t>山东东岳盐业有限公司</w:t>
      </w:r>
    </w:p>
    <w:p>
      <w:pPr>
        <w:widowControl/>
        <w:spacing w:line="360" w:lineRule="auto"/>
        <w:ind w:firstLine="640" w:firstLineChars="2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地    址：</w:t>
      </w:r>
      <w:r>
        <w:rPr>
          <w:rFonts w:hint="eastAsia" w:ascii="仿宋_GB2312" w:eastAsia="仿宋_GB2312"/>
          <w:sz w:val="30"/>
          <w:szCs w:val="30"/>
          <w:lang w:eastAsia="zh-CN"/>
        </w:rPr>
        <w:t>泰安市岱岳区马庄镇李家大坡村</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赵新：</w:t>
      </w:r>
      <w:r>
        <w:rPr>
          <w:rFonts w:hint="eastAsia" w:ascii="仿宋_GB2312" w:eastAsia="仿宋_GB2312"/>
          <w:sz w:val="30"/>
          <w:szCs w:val="30"/>
          <w:lang w:val="en-US" w:eastAsia="zh-CN"/>
        </w:rPr>
        <w:t xml:space="preserve">13468019171        </w:t>
      </w:r>
    </w:p>
    <w:p>
      <w:pPr>
        <w:spacing w:line="360" w:lineRule="auto"/>
        <w:ind w:firstLine="2100" w:firstLineChars="700"/>
        <w:rPr>
          <w:rFonts w:hint="default"/>
          <w:lang w:val="en-US" w:eastAsia="zh-CN"/>
        </w:rPr>
      </w:pPr>
      <w:r>
        <w:rPr>
          <w:rFonts w:hint="eastAsia" w:ascii="仿宋_GB2312" w:eastAsia="仿宋_GB2312"/>
          <w:sz w:val="30"/>
          <w:szCs w:val="30"/>
          <w:lang w:val="en-US" w:eastAsia="zh-CN"/>
        </w:rPr>
        <w:t xml:space="preserve">刘强：13625387829  </w:t>
      </w:r>
    </w:p>
    <w:p>
      <w:pPr>
        <w:ind w:firstLine="2100" w:firstLineChars="700"/>
        <w:rPr>
          <w:rFonts w:hint="eastAsia" w:ascii="仿宋_GB2312" w:eastAsia="仿宋_GB2312" w:hAnsiTheme="minorHAnsi" w:cstheme="minorBidi"/>
          <w:sz w:val="30"/>
          <w:szCs w:val="30"/>
        </w:rPr>
      </w:pPr>
      <w:r>
        <w:rPr>
          <w:rFonts w:hint="eastAsia" w:ascii="仿宋_GB2312" w:eastAsia="仿宋_GB2312"/>
          <w:sz w:val="30"/>
          <w:szCs w:val="30"/>
          <w:lang w:val="en-US" w:eastAsia="zh-CN"/>
        </w:rPr>
        <w:t>张毅：13705382602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张宗文</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w:t>
      </w:r>
      <w:r>
        <w:rPr>
          <w:rFonts w:hint="eastAsia" w:ascii="仿宋_GB2312" w:hAnsi="黑体" w:eastAsia="仿宋_GB2312" w:cs="Times New Roman"/>
          <w:kern w:val="44"/>
          <w:sz w:val="32"/>
          <w:szCs w:val="44"/>
          <w:lang w:eastAsia="zh-CN"/>
        </w:rPr>
        <w:t>山东东岳盐业有限公司</w:t>
      </w:r>
      <w:r>
        <w:rPr>
          <w:rFonts w:hint="eastAsia" w:ascii="仿宋_GB2312" w:hAnsi="黑体" w:eastAsia="仿宋_GB2312" w:cs="Times New Roman"/>
          <w:kern w:val="44"/>
          <w:sz w:val="32"/>
          <w:szCs w:val="44"/>
        </w:rPr>
        <w:t>。</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1" w:name="_Toc27562"/>
      <w:bookmarkStart w:id="2" w:name="_Toc3112"/>
      <w:r>
        <w:rPr>
          <w:rFonts w:hint="eastAsia" w:ascii="仿宋_GB2312" w:hAnsi="黑体" w:eastAsia="仿宋_GB2312" w:cs="Times New Roman"/>
          <w:kern w:val="44"/>
          <w:sz w:val="32"/>
          <w:szCs w:val="44"/>
          <w:u w:val="none"/>
          <w:lang w:val="zh-CN" w:eastAsia="zh-CN"/>
        </w:rPr>
        <w:t>1.2.1资格证明文件</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（1）供应商需自行组织详细的施工方案，详述各施工项目的施工方法、安全施工方案等内容，评标委员会将根据各自提供的施工方案进行评比打分并评选出最佳方案；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auto"/>
          <w:kern w:val="44"/>
          <w:sz w:val="32"/>
          <w:szCs w:val="44"/>
          <w:u w:val="none"/>
        </w:rPr>
        <w:t>2</w:t>
      </w:r>
      <w:r>
        <w:rPr>
          <w:rFonts w:hint="eastAsia" w:ascii="仿宋_GB2312" w:hAnsi="黑体" w:eastAsia="仿宋_GB2312" w:cs="Times New Roman"/>
          <w:color w:val="auto"/>
          <w:kern w:val="44"/>
          <w:sz w:val="32"/>
          <w:szCs w:val="44"/>
          <w:u w:val="none"/>
          <w:lang w:val="en-US" w:eastAsia="zh-CN"/>
        </w:rPr>
        <w:t>023年6月15日24时00分。</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1.3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3" w:name="_Toc152042364"/>
      <w:bookmarkStart w:id="4" w:name="_Toc152045587"/>
      <w:bookmarkStart w:id="5" w:name="_Toc179632605"/>
      <w:bookmarkStart w:id="6" w:name="_Toc144974554"/>
      <w:r>
        <w:rPr>
          <w:rFonts w:hint="eastAsia" w:ascii="方正小标宋简体" w:hAnsi="黑体" w:eastAsia="方正小标宋简体" w:cs="Times New Roman"/>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7"/>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7"/>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7"/>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tbl>
      <w:tblPr>
        <w:tblStyle w:val="7"/>
        <w:tblpPr w:leftFromText="180" w:rightFromText="180" w:vertAnchor="text" w:horzAnchor="page" w:tblpX="1870" w:tblpY="868"/>
        <w:tblOverlap w:val="never"/>
        <w:tblW w:w="8008" w:type="dxa"/>
        <w:tblInd w:w="0"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施工方案详</w:t>
            </w:r>
            <w:r>
              <w:rPr>
                <w:rFonts w:hint="eastAsia" w:ascii="仿宋_GB2312" w:hAnsi="宋体" w:eastAsia="仿宋_GB2312"/>
                <w:sz w:val="24"/>
                <w:szCs w:val="24"/>
                <w:u w:val="none"/>
                <w:lang w:val="zh-CN" w:eastAsia="zh-CN"/>
              </w:rPr>
              <w:t>述</w:t>
            </w:r>
            <w:r>
              <w:rPr>
                <w:rFonts w:hint="eastAsia" w:ascii="仿宋_GB2312" w:hAnsi="宋体" w:eastAsia="仿宋_GB2312" w:cstheme="minorBidi"/>
                <w:kern w:val="2"/>
                <w:sz w:val="24"/>
                <w:szCs w:val="24"/>
                <w:u w:val="none"/>
                <w:lang w:val="zh-CN" w:eastAsia="zh-CN"/>
              </w:rPr>
              <w:t>各施工项目的施工方法及安全施工方案</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_bookmark4"/>
      <w:bookmarkEnd w:id="7"/>
      <w:bookmarkStart w:id="8" w:name="第五部分___授予合同"/>
      <w:bookmarkEnd w:id="8"/>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firstLine="0" w:firstLineChars="0"/>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7"/>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1149"/>
        <w:gridCol w:w="1085"/>
        <w:gridCol w:w="1131"/>
        <w:gridCol w:w="1131"/>
        <w:gridCol w:w="1588"/>
      </w:tblGrid>
      <w:tr>
        <w:tblPrEx>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山东东岳盐业有限公司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岔河店盐卤厂至王家大坡阀门组输卤管道建设项目钢管段敷设安装施工标段</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岔河店盐卤厂至王家大坡阀门组输卤管道建设项目钢管段敷设安装施工标段</w:t>
            </w:r>
          </w:p>
        </w:tc>
      </w:tr>
      <w:tr>
        <w:tblPrEx>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289"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85"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（元）</w:t>
            </w:r>
          </w:p>
        </w:tc>
        <w:tc>
          <w:tcPr>
            <w:tcW w:w="158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289"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val="en-US" w:eastAsia="zh-CN" w:bidi="ar"/>
              </w:rPr>
              <w:t>DN250无缝钢管敷设安装</w:t>
            </w:r>
          </w:p>
        </w:tc>
        <w:tc>
          <w:tcPr>
            <w:tcW w:w="10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22m</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58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包含管道、法兰、弯头的防腐处理及焊接安装，闸阀、止回阀及流量计的安装，管沟的开挖及回填</w:t>
            </w:r>
          </w:p>
        </w:tc>
      </w:tr>
      <w:tr>
        <w:tblPrEx>
          <w:shd w:val="clear" w:color="auto" w:fill="auto"/>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289" w:type="dxa"/>
            <w:gridSpan w:val="2"/>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管道固定支墩支架建设</w:t>
            </w:r>
          </w:p>
        </w:tc>
        <w:tc>
          <w:tcPr>
            <w:tcW w:w="108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4个</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58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包含施工所需的所有材料</w:t>
            </w:r>
          </w:p>
        </w:tc>
      </w:tr>
      <w:tr>
        <w:tblPrEx>
          <w:shd w:val="clear" w:color="auto" w:fill="auto"/>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289" w:type="dxa"/>
            <w:gridSpan w:val="2"/>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08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588"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4</w:t>
            </w:r>
          </w:p>
        </w:tc>
        <w:tc>
          <w:tcPr>
            <w:tcW w:w="2289" w:type="dxa"/>
            <w:gridSpan w:val="2"/>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085"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lang w:val="en-US" w:eastAsia="zh-CN"/>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宋体" w:eastAsia="仿宋_GB2312" w:cs="Times New Roman"/>
          <w:kern w:val="2"/>
          <w:sz w:val="28"/>
          <w:szCs w:val="28"/>
          <w:lang w:val="en-US" w:eastAsia="zh-CN" w:bidi="ar-SA"/>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仿宋_GB2312" w:eastAsia="仿宋_GB2312" w:cs="仿宋_GB2312"/>
          <w:color w:val="000000"/>
          <w:spacing w:val="0"/>
          <w:kern w:val="0"/>
          <w:sz w:val="24"/>
          <w:szCs w:val="24"/>
          <w:u w:val="none"/>
          <w:lang w:val="en-US" w:eastAsia="zh-CN" w:bidi="ar"/>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autoSpaceDE w:val="0"/>
        <w:autoSpaceDN w:val="0"/>
        <w:spacing w:line="640" w:lineRule="exact"/>
        <w:ind w:firstLine="6006" w:firstLineChars="2100"/>
        <w:rPr>
          <w:rFonts w:ascii="仿宋_GB2312" w:hAnsi="仿宋" w:eastAsia="仿宋_GB2312"/>
          <w:sz w:val="24"/>
          <w:lang w:val="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岔河店盐卤厂至王家大坡阀门组输卤管道建设项目钢管段敷设安装施工标段</w:t>
      </w:r>
      <w:r>
        <w:rPr>
          <w:rFonts w:ascii="仿宋_GB2312" w:hAnsi="仿宋" w:eastAsia="仿宋_GB2312"/>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岔河店盐卤厂至王家大坡阀门组输卤管道建设项目钢管段敷设安装施工标段</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autoSpaceDE w:val="0"/>
        <w:autoSpaceDN w:val="0"/>
        <w:spacing w:line="640" w:lineRule="exact"/>
        <w:rPr>
          <w:rFonts w:hint="default" w:ascii="仿宋_GB2312" w:hAnsi="仿宋" w:eastAsia="仿宋_GB2312"/>
          <w:sz w:val="24"/>
          <w:lang w:val="zh-CN" w:eastAsia="zh-CN"/>
        </w:rPr>
      </w:pPr>
      <w:r>
        <w:rPr>
          <w:rFonts w:hint="eastAsia" w:ascii="仿宋_GB2312" w:hAnsi="宋体" w:eastAsia="仿宋_GB2312" w:cs="Times New Roman"/>
          <w:sz w:val="32"/>
          <w:szCs w:val="32"/>
          <w:u w:val="none"/>
          <w:lang w:eastAsia="zh-CN"/>
        </w:rPr>
        <w:t>附图：</w:t>
      </w:r>
      <w:r>
        <w:rPr>
          <w:rFonts w:hint="eastAsia" w:ascii="仿宋_GB2312" w:hAnsi="宋体" w:eastAsia="仿宋_GB2312" w:cs="Times New Roman"/>
          <w:sz w:val="32"/>
          <w:szCs w:val="32"/>
          <w:u w:val="none"/>
          <w:lang w:val="en-US" w:eastAsia="zh-CN"/>
        </w:rPr>
        <w:t>混凝土固定支墩支架</w:t>
      </w:r>
    </w:p>
    <w:p>
      <w:pPr>
        <w:pStyle w:val="2"/>
        <w:rPr>
          <w:rFonts w:hint="eastAsia"/>
          <w:lang w:eastAsia="zh-CN"/>
        </w:rPr>
      </w:pPr>
      <w:r>
        <w:drawing>
          <wp:inline distT="0" distB="0" distL="114300" distR="114300">
            <wp:extent cx="5541645" cy="3094990"/>
            <wp:effectExtent l="0" t="0" r="190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41645" cy="3094990"/>
                    </a:xfrm>
                    <a:prstGeom prst="rect">
                      <a:avLst/>
                    </a:prstGeom>
                    <a:noFill/>
                    <a:ln>
                      <a:noFill/>
                    </a:ln>
                  </pic:spPr>
                </pic:pic>
              </a:graphicData>
            </a:graphic>
          </wp:inline>
        </w:drawing>
      </w: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D1726D"/>
    <w:rsid w:val="057D4BE3"/>
    <w:rsid w:val="05817D9D"/>
    <w:rsid w:val="05BF1E6E"/>
    <w:rsid w:val="069755E0"/>
    <w:rsid w:val="06C042F3"/>
    <w:rsid w:val="08174FCD"/>
    <w:rsid w:val="091D1F66"/>
    <w:rsid w:val="0A4253D3"/>
    <w:rsid w:val="0A6D68B1"/>
    <w:rsid w:val="0AB02221"/>
    <w:rsid w:val="0BCA048F"/>
    <w:rsid w:val="0CAD2D51"/>
    <w:rsid w:val="0CB74F37"/>
    <w:rsid w:val="0CF8640E"/>
    <w:rsid w:val="0D5A3656"/>
    <w:rsid w:val="0DB80BBA"/>
    <w:rsid w:val="0F175A76"/>
    <w:rsid w:val="0FBC7598"/>
    <w:rsid w:val="106047C8"/>
    <w:rsid w:val="138B0CB1"/>
    <w:rsid w:val="14C22288"/>
    <w:rsid w:val="154342FD"/>
    <w:rsid w:val="159D452E"/>
    <w:rsid w:val="167C7F82"/>
    <w:rsid w:val="16E8555F"/>
    <w:rsid w:val="19133878"/>
    <w:rsid w:val="1B861BBC"/>
    <w:rsid w:val="1E623FD6"/>
    <w:rsid w:val="1E6325EF"/>
    <w:rsid w:val="1E7C727F"/>
    <w:rsid w:val="1F777037"/>
    <w:rsid w:val="1FD60205"/>
    <w:rsid w:val="20270FCD"/>
    <w:rsid w:val="21EA18AD"/>
    <w:rsid w:val="240E3DAA"/>
    <w:rsid w:val="24860255"/>
    <w:rsid w:val="24990161"/>
    <w:rsid w:val="258779D8"/>
    <w:rsid w:val="268B0983"/>
    <w:rsid w:val="26A4098F"/>
    <w:rsid w:val="276C12D3"/>
    <w:rsid w:val="28D27B04"/>
    <w:rsid w:val="29C4587E"/>
    <w:rsid w:val="2A350ACB"/>
    <w:rsid w:val="2A9D68A5"/>
    <w:rsid w:val="2AAF4C72"/>
    <w:rsid w:val="2B9C4B6B"/>
    <w:rsid w:val="2C475A2F"/>
    <w:rsid w:val="2C9B7B11"/>
    <w:rsid w:val="2CC048AF"/>
    <w:rsid w:val="2CC7158E"/>
    <w:rsid w:val="2EC871E4"/>
    <w:rsid w:val="2F8D6E1D"/>
    <w:rsid w:val="2FE92250"/>
    <w:rsid w:val="2FEC2F3D"/>
    <w:rsid w:val="30562FA1"/>
    <w:rsid w:val="31413B7F"/>
    <w:rsid w:val="33317CB2"/>
    <w:rsid w:val="355410AE"/>
    <w:rsid w:val="362F46E1"/>
    <w:rsid w:val="370C5E5F"/>
    <w:rsid w:val="37240058"/>
    <w:rsid w:val="39363CB0"/>
    <w:rsid w:val="3B7A35D8"/>
    <w:rsid w:val="3D12064C"/>
    <w:rsid w:val="3E3C1261"/>
    <w:rsid w:val="409E00B6"/>
    <w:rsid w:val="41773A03"/>
    <w:rsid w:val="44656DC0"/>
    <w:rsid w:val="446C3951"/>
    <w:rsid w:val="46F2054E"/>
    <w:rsid w:val="474362F1"/>
    <w:rsid w:val="496B2BA7"/>
    <w:rsid w:val="4AE0443D"/>
    <w:rsid w:val="4C6B08E0"/>
    <w:rsid w:val="4C8449BE"/>
    <w:rsid w:val="4C871B0C"/>
    <w:rsid w:val="4D1A7EB3"/>
    <w:rsid w:val="4FF202B4"/>
    <w:rsid w:val="50FC6B65"/>
    <w:rsid w:val="510F4C12"/>
    <w:rsid w:val="51A1586A"/>
    <w:rsid w:val="51DE5EF9"/>
    <w:rsid w:val="527A416D"/>
    <w:rsid w:val="53061A33"/>
    <w:rsid w:val="531813D7"/>
    <w:rsid w:val="53761176"/>
    <w:rsid w:val="564F1401"/>
    <w:rsid w:val="57442FB3"/>
    <w:rsid w:val="57460AC2"/>
    <w:rsid w:val="58B07579"/>
    <w:rsid w:val="5915699E"/>
    <w:rsid w:val="59751278"/>
    <w:rsid w:val="5A936001"/>
    <w:rsid w:val="5B727683"/>
    <w:rsid w:val="5C4A15A7"/>
    <w:rsid w:val="5D317D47"/>
    <w:rsid w:val="5FA1715B"/>
    <w:rsid w:val="60CA3BA9"/>
    <w:rsid w:val="61952E57"/>
    <w:rsid w:val="628338D5"/>
    <w:rsid w:val="63350368"/>
    <w:rsid w:val="64176ECE"/>
    <w:rsid w:val="674D777B"/>
    <w:rsid w:val="680A5162"/>
    <w:rsid w:val="68C50308"/>
    <w:rsid w:val="69E85656"/>
    <w:rsid w:val="6A585F3B"/>
    <w:rsid w:val="6BAD1CAE"/>
    <w:rsid w:val="6BD2609F"/>
    <w:rsid w:val="6C204A8C"/>
    <w:rsid w:val="6C6C6CE1"/>
    <w:rsid w:val="6CB404AD"/>
    <w:rsid w:val="6ECE7F2B"/>
    <w:rsid w:val="71C477E1"/>
    <w:rsid w:val="71D67CD0"/>
    <w:rsid w:val="71FD3157"/>
    <w:rsid w:val="73D62658"/>
    <w:rsid w:val="761B566E"/>
    <w:rsid w:val="768B5CF7"/>
    <w:rsid w:val="76F31295"/>
    <w:rsid w:val="7A6335B5"/>
    <w:rsid w:val="7B713E76"/>
    <w:rsid w:val="7C3E5C19"/>
    <w:rsid w:val="7D0823E1"/>
    <w:rsid w:val="7D37140C"/>
    <w:rsid w:val="7D745541"/>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页眉 Char"/>
    <w:basedOn w:val="9"/>
    <w:link w:val="6"/>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8058</Words>
  <Characters>8480</Characters>
  <Lines>48</Lines>
  <Paragraphs>13</Paragraphs>
  <TotalTime>229</TotalTime>
  <ScaleCrop>false</ScaleCrop>
  <LinksUpToDate>false</LinksUpToDate>
  <CharactersWithSpaces>8657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风雨踏梦行</cp:lastModifiedBy>
  <cp:lastPrinted>2023-06-16T05:35:00Z</cp:lastPrinted>
  <dcterms:modified xsi:type="dcterms:W3CDTF">2024-05-26T09:58:07Z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96743DD61A9B422BA75A11A913C26559_13</vt:lpwstr>
  </property>
</Properties>
</file>