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3061F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 w14:paraId="041041D9">
      <w:pPr>
        <w:spacing w:line="580" w:lineRule="exact"/>
        <w:jc w:val="center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山东岱岳制盐有限公司</w:t>
      </w:r>
    </w:p>
    <w:p w14:paraId="22837A6B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169C0BEA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Times New Roman"/>
          <w:b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eastAsia="宋体" w:cs="Times New Roman"/>
          <w:b/>
          <w:bCs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制盐车间干燥系统蒸汽换热器拆除更换项目</w:t>
      </w:r>
    </w:p>
    <w:p w14:paraId="64C080F2">
      <w:pPr>
        <w:pStyle w:val="12"/>
        <w:rPr>
          <w:rFonts w:hint="eastAsia"/>
          <w:b/>
          <w:bCs w:val="0"/>
          <w:lang w:val="en-US" w:eastAsia="zh-CN"/>
        </w:rPr>
      </w:pPr>
    </w:p>
    <w:p w14:paraId="6A6C2D4D">
      <w:pPr>
        <w:pStyle w:val="12"/>
        <w:rPr>
          <w:rFonts w:hint="eastAsia"/>
          <w:b/>
          <w:bCs w:val="0"/>
          <w:lang w:val="en-US" w:eastAsia="zh-CN"/>
        </w:rPr>
      </w:pPr>
    </w:p>
    <w:p w14:paraId="0A9A89FF">
      <w:pPr>
        <w:spacing w:line="0" w:lineRule="atLeast"/>
        <w:jc w:val="center"/>
        <w:rPr>
          <w:rFonts w:hint="eastAsia" w:ascii="方正小标宋简体" w:hAnsi="黑体" w:eastAsia="方正小标宋简体" w:cs="Times New Roman"/>
          <w:b/>
          <w:bCs w:val="0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72"/>
          <w:szCs w:val="72"/>
          <w:lang w:val="en-US" w:eastAsia="zh-CN"/>
        </w:rPr>
        <w:t>询价文件</w:t>
      </w:r>
    </w:p>
    <w:p w14:paraId="64E60876">
      <w:pPr>
        <w:pStyle w:val="12"/>
        <w:rPr>
          <w:rFonts w:hint="eastAsia" w:ascii="宋体" w:hAnsi="宋体"/>
          <w:b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 w14:paraId="6D73E4BA"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4039</w:t>
      </w:r>
    </w:p>
    <w:p w14:paraId="7D118048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7300C6CF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20D2E2DB">
      <w:pPr>
        <w:pStyle w:val="3"/>
        <w:rPr>
          <w:rFonts w:ascii="黑体" w:hAnsi="黑体" w:eastAsia="黑体" w:cs="Times New Roman"/>
          <w:sz w:val="32"/>
          <w:szCs w:val="24"/>
        </w:rPr>
      </w:pPr>
    </w:p>
    <w:p w14:paraId="41399973"/>
    <w:p w14:paraId="1EAF599D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07FFDA24">
      <w:pPr>
        <w:pStyle w:val="12"/>
        <w:rPr>
          <w:rFonts w:ascii="黑体" w:hAnsi="黑体" w:eastAsia="黑体" w:cs="Times New Roman"/>
          <w:sz w:val="32"/>
          <w:szCs w:val="24"/>
        </w:rPr>
      </w:pPr>
    </w:p>
    <w:p w14:paraId="5A70BB37">
      <w:pPr>
        <w:pStyle w:val="12"/>
        <w:rPr>
          <w:rFonts w:ascii="黑体" w:hAnsi="黑体" w:eastAsia="黑体" w:cs="Times New Roman"/>
          <w:sz w:val="32"/>
          <w:szCs w:val="24"/>
        </w:rPr>
      </w:pPr>
    </w:p>
    <w:p w14:paraId="58485BCA">
      <w:pPr>
        <w:pStyle w:val="12"/>
        <w:rPr>
          <w:rFonts w:ascii="黑体" w:hAnsi="黑体" w:eastAsia="黑体" w:cs="Times New Roman"/>
          <w:sz w:val="32"/>
          <w:szCs w:val="24"/>
        </w:rPr>
      </w:pPr>
    </w:p>
    <w:p w14:paraId="3CD05AD6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1993287C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0D7D880C"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 w14:paraId="259085B1">
      <w:pPr>
        <w:jc w:val="center"/>
        <w:rPr>
          <w:rFonts w:hint="eastAsia" w:ascii="黑体" w:hAnsi="黑体" w:eastAsia="黑体" w:cs="Times New Roman"/>
          <w:sz w:val="32"/>
          <w:szCs w:val="24"/>
        </w:rPr>
      </w:pPr>
    </w:p>
    <w:p w14:paraId="695CB8C5"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 w14:paraId="30C2B637"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5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</w:p>
    <w:p w14:paraId="23388810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 w14:paraId="70B88616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 w14:paraId="2BA7EFB1"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制盐车间干燥系统蒸汽换热器拆除更换项目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进行询价招标，欢迎有施工能力以及施工经验的单位参与投标。</w:t>
      </w:r>
    </w:p>
    <w:p w14:paraId="6E092C2A"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 w14:paraId="65125EF6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制盐车间干燥系统蒸汽换热器拆除更换项目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 w14:paraId="27D75D49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 w14:paraId="745C48AC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3、项目内容：</w:t>
      </w:r>
    </w:p>
    <w:p w14:paraId="0D0A4356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3.1 </w:t>
      </w:r>
      <w:bookmarkStart w:id="0" w:name="OLE_LINK1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制盐车间1#干燥炉热鼓风机蒸汽换热器拆除更换，包含换热器外保温的拆除及恢复，为交钥匙工程；</w:t>
      </w:r>
      <w:bookmarkEnd w:id="0"/>
    </w:p>
    <w:p w14:paraId="3B2D9405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3.2 制盐车间五米干燥1#干燥炉热鼓风机蒸汽换热器拆除更换，需先拆除1#干燥炉热鼓风机原蒸汽换热器及保温，拆除换热器后需转运至指定位置； </w:t>
      </w:r>
    </w:p>
    <w:p w14:paraId="3F91FC63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将新换热器整体搬运至制盐车间5米干燥进行安装，安装完成后需恢复换热器保温，并对换热器支撑钢架除锈刷漆；</w:t>
      </w:r>
    </w:p>
    <w:p w14:paraId="13C026C2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搬运新换热器需整体搬运，严禁拆解搬运，投标方如拆解搬运，应承担换热器出现的任何质量问题；</w:t>
      </w:r>
    </w:p>
    <w:p w14:paraId="37AFCD1B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4、工程承包范围：施工费用包含换热器拆除安装的所有材料、运输、人工、安全施工、调试、保养、保险、税费、验收、检测等一切费用，费用一次性包死；</w:t>
      </w:r>
    </w:p>
    <w:p w14:paraId="6BC35342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 w14:paraId="3628BCF2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合同金额的90%，同时开具3%全额增值税专用发票，正常运行6个月后付至合同金额的97%，余款3%为质保金，期满后无质量问题30个工作日内一次无息付清，付款方式为现汇或电子承兑支付；</w:t>
      </w:r>
    </w:p>
    <w:p w14:paraId="3D58E382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 w14:paraId="11BFC058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 w14:paraId="18FF8B3E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 w14:paraId="4C38A608"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质保期：自验收合格之日起1年。</w:t>
      </w:r>
    </w:p>
    <w:p w14:paraId="385D59D3"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 w14:paraId="2ADA5499"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 w14:paraId="2073436E">
      <w:pPr>
        <w:pStyle w:val="1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 w14:paraId="318922D7"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 w14:paraId="4BDFEE6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 w14:paraId="22E322C6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 w14:paraId="72152E53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3、具有良好的商业信誉，投标方未被列入“信用中国”（www.creditchina.gov.cn）及“中国执行信息公开网”网站（zxgk.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instrText xml:space="preserve"> HYPERLINK "http://zxgk.court.gov.cn/" </w:instrTex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court.gov.cn）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fldChar w:fldCharType="end"/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“失信被执行人”记录名单。</w:t>
      </w:r>
    </w:p>
    <w:p w14:paraId="2AFDBB51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  <w:bookmarkStart w:id="1" w:name="_GoBack"/>
      <w:bookmarkEnd w:id="1"/>
    </w:p>
    <w:p w14:paraId="07D25882"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 w14:paraId="3DC9A8DC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 w14:paraId="0721E962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 w14:paraId="15D36504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 w14:paraId="2EA5B2DA"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 w14:paraId="33921E20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1、投标时间：截止至2024年5月11日上午8：30。</w:t>
      </w:r>
    </w:p>
    <w:p w14:paraId="226273D8"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2、开标时间：2024年5月11日上午8：30。</w:t>
      </w:r>
    </w:p>
    <w:p w14:paraId="0043F57D"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 w14:paraId="5315B138"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2024年5月11日上午8：30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130DB807"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投标方</w:t>
      </w:r>
      <w:r>
        <w:rPr>
          <w:rFonts w:hint="eastAsia" w:ascii="仿宋_GB2312" w:eastAsia="仿宋_GB2312"/>
          <w:sz w:val="30"/>
          <w:szCs w:val="30"/>
          <w:lang w:eastAsia="zh-CN"/>
        </w:rPr>
        <w:t>报专用报价邮箱：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dyzyscb@163.com并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邮寄纸质版投标文件（密封并盖章），截止时间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2024年5月11日上午8：30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 w14:paraId="0FE3EFB0"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 w14:paraId="2A7DA699">
      <w:pPr>
        <w:spacing w:line="360" w:lineRule="auto"/>
        <w:ind w:firstLine="675" w:firstLineChars="225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满足招标方资质要求，根据投标文件中报价采用经评审最低价法确定中标单位。</w:t>
      </w:r>
    </w:p>
    <w:p w14:paraId="69F3130E"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 w14:paraId="5E70409E"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7日历天；</w:t>
      </w:r>
    </w:p>
    <w:p w14:paraId="14DE212D"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 w14:paraId="48EE87DB"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商务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联系人：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侯经理18953832888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13705382602</w:t>
      </w:r>
    </w:p>
    <w:p w14:paraId="6E0AE208"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技术联系人：李主任15163858788    </w:t>
      </w:r>
    </w:p>
    <w:p w14:paraId="4B65B931"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</w:p>
    <w:p w14:paraId="4508093E"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 w14:paraId="61854753">
      <w:pPr>
        <w:pStyle w:val="3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665F1B3A"/>
    <w:p w14:paraId="057684EC"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 w14:paraId="0C382507"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1D12F4E9"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 w14:paraId="4E5DFF2A"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 w14:paraId="43019A4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 w14:paraId="26F4335C"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附表一：报价单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1234"/>
        <w:gridCol w:w="1765"/>
        <w:gridCol w:w="1835"/>
        <w:gridCol w:w="1945"/>
      </w:tblGrid>
      <w:tr w14:paraId="7D03AE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372FA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</w:p>
          <w:p w14:paraId="66044D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制盐车间干燥系统蒸汽换热器拆除更换项目</w:t>
            </w:r>
          </w:p>
          <w:p w14:paraId="6DAC4C2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 w14:paraId="062DE9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7F4B3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 w14:paraId="3924E6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D17AFD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 w14:paraId="25D0FA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5A98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B5CF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 w14:paraId="71A378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B8F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E7E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 w14:paraId="3F7DC3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6A4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B10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制盐车间干燥系统蒸汽换热器拆除更换项目</w:t>
            </w:r>
          </w:p>
        </w:tc>
      </w:tr>
      <w:tr w14:paraId="12C0A6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AD3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F48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 w14:paraId="4B4979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79E4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 w14:paraId="3B2EC7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A77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 w14:paraId="3465F6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35EF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99E92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B153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D1FD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报价（元）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C636D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337D1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256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1DC1D0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蒸汽换热器拆除更换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38F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1台套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F6A3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E73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含保温拆除及修复、钢架除锈刷漆</w:t>
            </w:r>
          </w:p>
        </w:tc>
      </w:tr>
      <w:tr w14:paraId="419B3A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BA1A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1F3B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FF7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A55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83B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 w14:paraId="72BCDA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AC3E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F679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9421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864A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5E3D2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 w14:paraId="7D261D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158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C3F6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62C8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2557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BE0B5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 w14:paraId="246E41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2988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02C7C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BF20B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927A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3B9E4"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 w14:paraId="7816DD90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 w14:paraId="105EDA86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 w14:paraId="63C7F648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                                </w:t>
      </w:r>
    </w:p>
    <w:p w14:paraId="1372657C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2024年   月   日</w:t>
      </w:r>
    </w:p>
    <w:p w14:paraId="303AB5C7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72625BCE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7A110FF4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0CC4214C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3C8E8A48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06917FBC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4D4C6823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3F5E0854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60D68310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</w:t>
      </w:r>
    </w:p>
    <w:p w14:paraId="6CA23E93"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</w:p>
    <w:p w14:paraId="5C465E7C">
      <w:pPr>
        <w:pStyle w:val="3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 w14:paraId="4308079A">
      <w:pPr>
        <w:jc w:val="center"/>
        <w:rPr>
          <w:rFonts w:ascii="宋体" w:hAnsi="Arial"/>
          <w:sz w:val="28"/>
          <w:lang w:val="zh-CN"/>
        </w:rPr>
      </w:pPr>
    </w:p>
    <w:p w14:paraId="041D5883"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制盐车间干燥系统蒸汽换热器拆除更换项目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 w14:paraId="040C0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D8506B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A0888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6710B6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5769AD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 w14:paraId="235D9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CC30CC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CBCE0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EDFC3A9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D21861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4D055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D2540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C1315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904177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225735E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33EA5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14744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27B76A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9F15B1B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EC31C5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752EC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36577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3158BA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D35F3A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5B39482F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6D32D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815BF8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A991A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287AE3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756FD59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77EFA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55B88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3F499E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C7836C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D02C5E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6EB3E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30696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B1D9F8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CE5F0F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3CC1A3C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 w14:paraId="5ADBD226"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 w14:paraId="3EE34161"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 w14:paraId="5AE92D55"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 w14:paraId="7F5A220C"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 w14:paraId="11EEB5C2"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 w14:paraId="0D283490">
      <w:pPr>
        <w:autoSpaceDE w:val="0"/>
        <w:autoSpaceDN w:val="0"/>
        <w:spacing w:line="360" w:lineRule="auto"/>
        <w:rPr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 w14:paraId="5E180F4F"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 w14:paraId="2E7F1BA2"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</w:p>
    <w:p w14:paraId="11F5CEFE"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 w14:paraId="0182F2FD">
      <w:pPr>
        <w:jc w:val="center"/>
        <w:rPr>
          <w:rFonts w:ascii="宋体" w:hAnsi="Arial"/>
          <w:sz w:val="28"/>
          <w:lang w:val="zh-CN"/>
        </w:rPr>
      </w:pPr>
    </w:p>
    <w:p w14:paraId="36193EB7"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 w:cs="Times New Roman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制盐车间干燥系统蒸汽换热器拆除更换项目</w:t>
      </w:r>
      <w:r>
        <w:rPr>
          <w:rFonts w:hint="eastAsia" w:ascii="仿宋_GB2312" w:hAnsi="仿宋" w:eastAsia="仿宋_GB2312" w:cs="Times New Roman"/>
          <w:sz w:val="24"/>
          <w:u w:val="single"/>
          <w:lang w:val="zh-CN"/>
        </w:rPr>
        <w:t xml:space="preserve">   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 w14:paraId="02C91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2B9717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381CE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545139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37779E"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 w14:paraId="44510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9766BC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57CC13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8DC7842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5BEA7D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30229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D15F1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A40C9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6E5998E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F0D70F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594C7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698671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82BAA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F8D654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ED28145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5AB8F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A0B0D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8C6855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445C0B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 w14:paraId="72EBFBA6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687E2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319FC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8B1F7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7701048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3C2BD7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2D2B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EC64B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0AE15D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74BE580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0FFC9A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 w14:paraId="7D665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EAD73"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ADD503"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7A3558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8ACE1FA"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 w14:paraId="6E7C814B"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 w14:paraId="5FA8D2F1"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 w14:paraId="61AD2DC7"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 w14:paraId="53DDC75D"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 w14:paraId="7DF6C023"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 w14:paraId="7BBEF7F9"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 w14:paraId="68F5E9CA"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9E5C58D-33CF-45A0-8890-67EC1A1910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3E4BE50-8788-428B-A276-12BE021686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B567552C-7949-4401-AFAA-C5735D8DB4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966717-3D2B-43BA-92DE-51E1E4AF0D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D4865E6-A2AF-44B4-AC12-6FC9524AF9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D6EAEC9-B9B4-41AC-A939-D1D7EAD6A4C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NkNjI2ZmE4ZDNkYjYwZTBiYjg1ZDNhYzE4ZjUifQ=="/>
  </w:docVars>
  <w:rsids>
    <w:rsidRoot w:val="45C10B5F"/>
    <w:rsid w:val="017F12D4"/>
    <w:rsid w:val="01874F73"/>
    <w:rsid w:val="01E3241E"/>
    <w:rsid w:val="022F74DC"/>
    <w:rsid w:val="03B91101"/>
    <w:rsid w:val="06C30C72"/>
    <w:rsid w:val="07D71CEE"/>
    <w:rsid w:val="08070D6B"/>
    <w:rsid w:val="08445E66"/>
    <w:rsid w:val="08D648DB"/>
    <w:rsid w:val="091A5787"/>
    <w:rsid w:val="09221B63"/>
    <w:rsid w:val="09DA5520"/>
    <w:rsid w:val="0A1A674A"/>
    <w:rsid w:val="0A97699E"/>
    <w:rsid w:val="0D007C96"/>
    <w:rsid w:val="0D1A2A65"/>
    <w:rsid w:val="0EC030DD"/>
    <w:rsid w:val="0F091391"/>
    <w:rsid w:val="0F1861D4"/>
    <w:rsid w:val="100A0345"/>
    <w:rsid w:val="1173466E"/>
    <w:rsid w:val="13BB58AD"/>
    <w:rsid w:val="140D24DD"/>
    <w:rsid w:val="143332F5"/>
    <w:rsid w:val="14543B60"/>
    <w:rsid w:val="167C6DFA"/>
    <w:rsid w:val="16E23DFB"/>
    <w:rsid w:val="176D2836"/>
    <w:rsid w:val="19B82418"/>
    <w:rsid w:val="1B3A4A08"/>
    <w:rsid w:val="1B7B1839"/>
    <w:rsid w:val="1BA17A2A"/>
    <w:rsid w:val="1FD27FA5"/>
    <w:rsid w:val="21312BE5"/>
    <w:rsid w:val="21C6173C"/>
    <w:rsid w:val="228B098C"/>
    <w:rsid w:val="24180157"/>
    <w:rsid w:val="246B40C1"/>
    <w:rsid w:val="24B66377"/>
    <w:rsid w:val="250E3F9A"/>
    <w:rsid w:val="25BF247D"/>
    <w:rsid w:val="27F73392"/>
    <w:rsid w:val="29A90890"/>
    <w:rsid w:val="2B854CEE"/>
    <w:rsid w:val="2BA0116E"/>
    <w:rsid w:val="2C813014"/>
    <w:rsid w:val="2EF00CBC"/>
    <w:rsid w:val="2FB96356"/>
    <w:rsid w:val="30876AA9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A94BAB"/>
    <w:rsid w:val="39F53665"/>
    <w:rsid w:val="3BC245AF"/>
    <w:rsid w:val="3C710263"/>
    <w:rsid w:val="3D222B40"/>
    <w:rsid w:val="404654FF"/>
    <w:rsid w:val="40AE5174"/>
    <w:rsid w:val="42BB3724"/>
    <w:rsid w:val="431C6069"/>
    <w:rsid w:val="43E5717F"/>
    <w:rsid w:val="445B7D72"/>
    <w:rsid w:val="45C10B5F"/>
    <w:rsid w:val="47013F92"/>
    <w:rsid w:val="475F1FDB"/>
    <w:rsid w:val="479F23AD"/>
    <w:rsid w:val="4995105C"/>
    <w:rsid w:val="4A6D4EB4"/>
    <w:rsid w:val="4E7F33FE"/>
    <w:rsid w:val="4EBD15FA"/>
    <w:rsid w:val="4EEF2101"/>
    <w:rsid w:val="50067498"/>
    <w:rsid w:val="50A672A6"/>
    <w:rsid w:val="51B701A5"/>
    <w:rsid w:val="54F60B2E"/>
    <w:rsid w:val="553C4353"/>
    <w:rsid w:val="55973B81"/>
    <w:rsid w:val="55EE615F"/>
    <w:rsid w:val="56020701"/>
    <w:rsid w:val="584160A4"/>
    <w:rsid w:val="58DD78CC"/>
    <w:rsid w:val="599A10C9"/>
    <w:rsid w:val="5ABD4099"/>
    <w:rsid w:val="5B266605"/>
    <w:rsid w:val="5D3D574E"/>
    <w:rsid w:val="5DBB7DAF"/>
    <w:rsid w:val="5DCE1E27"/>
    <w:rsid w:val="5EF45D66"/>
    <w:rsid w:val="5F9040D2"/>
    <w:rsid w:val="6061339D"/>
    <w:rsid w:val="60956DB9"/>
    <w:rsid w:val="619D030E"/>
    <w:rsid w:val="625051A3"/>
    <w:rsid w:val="63D602A9"/>
    <w:rsid w:val="64C9520C"/>
    <w:rsid w:val="64CC6AAA"/>
    <w:rsid w:val="65CF594F"/>
    <w:rsid w:val="66676266"/>
    <w:rsid w:val="669929D9"/>
    <w:rsid w:val="676E33F4"/>
    <w:rsid w:val="679F20A7"/>
    <w:rsid w:val="68E24AEE"/>
    <w:rsid w:val="693A6AAD"/>
    <w:rsid w:val="6B106DB8"/>
    <w:rsid w:val="6BD60081"/>
    <w:rsid w:val="6D272B23"/>
    <w:rsid w:val="6F665726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5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1623</Words>
  <Characters>1764</Characters>
  <Lines>0</Lines>
  <Paragraphs>0</Paragraphs>
  <TotalTime>0</TotalTime>
  <ScaleCrop>false</ScaleCrop>
  <LinksUpToDate>false</LinksUpToDate>
  <CharactersWithSpaces>1974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月枫</cp:lastModifiedBy>
  <cp:lastPrinted>2023-07-28T06:50:00Z</cp:lastPrinted>
  <dcterms:modified xsi:type="dcterms:W3CDTF">2024-07-25T03:41:20Z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091DDAECA722471C9350C3F94238431E</vt:lpwstr>
  </property>
</Properties>
</file>